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31A4" w14:textId="77777777" w:rsidR="004E6807" w:rsidRPr="004E6807" w:rsidRDefault="004E6807" w:rsidP="004E6807">
      <w:pPr>
        <w:rPr>
          <w:sz w:val="28"/>
          <w:szCs w:val="28"/>
        </w:rPr>
      </w:pPr>
    </w:p>
    <w:p w14:paraId="008333C2" w14:textId="18686619" w:rsidR="00766D93" w:rsidRDefault="00766D93" w:rsidP="00766D93">
      <w:pPr>
        <w:pStyle w:val="ListParagraph"/>
        <w:numPr>
          <w:ilvl w:val="0"/>
          <w:numId w:val="1"/>
        </w:numPr>
      </w:pPr>
      <w:r>
        <w:t>POLICY STATEMENT</w:t>
      </w:r>
    </w:p>
    <w:p w14:paraId="33C1445D" w14:textId="6708E977" w:rsidR="00766D93" w:rsidRDefault="00766D93" w:rsidP="00766D93">
      <w:pPr>
        <w:pStyle w:val="ListParagraph"/>
      </w:pPr>
    </w:p>
    <w:p w14:paraId="5BF159C3" w14:textId="58FDC5B2" w:rsidR="00766D93" w:rsidRDefault="00404005" w:rsidP="00766D93">
      <w:pPr>
        <w:pStyle w:val="ListParagraph"/>
        <w:ind w:left="0"/>
      </w:pPr>
      <w:r>
        <w:t xml:space="preserve">It is the policy of </w:t>
      </w:r>
      <w:r w:rsidRPr="000D7768">
        <w:rPr>
          <w:color w:val="7030A0"/>
        </w:rPr>
        <w:t>[Organization]</w:t>
      </w:r>
      <w:r>
        <w:t xml:space="preserve"> to practice a continuous improvement approach to understanding and taking appropriate responsibility for </w:t>
      </w:r>
      <w:r w:rsidR="00B1229E">
        <w:t xml:space="preserve">any adverse </w:t>
      </w:r>
      <w:r>
        <w:t>environmental, social, and economic impacts of its purchasing</w:t>
      </w:r>
      <w:r w:rsidR="00B1229E">
        <w:t xml:space="preserve">. In doing so, the </w:t>
      </w:r>
      <w:r w:rsidR="000D7768" w:rsidRPr="000D7768">
        <w:rPr>
          <w:color w:val="7030A0"/>
        </w:rPr>
        <w:t>[Organization]</w:t>
      </w:r>
      <w:r w:rsidR="000D7768">
        <w:t xml:space="preserve"> </w:t>
      </w:r>
      <w:r w:rsidR="00B1229E">
        <w:t xml:space="preserve">shall a consider impacts on a life-cycle basis and </w:t>
      </w:r>
      <w:r w:rsidR="00A06381">
        <w:t xml:space="preserve">prioritize </w:t>
      </w:r>
      <w:r w:rsidR="00E27DF2">
        <w:t xml:space="preserve">actions </w:t>
      </w:r>
      <w:r w:rsidR="00A06381">
        <w:t xml:space="preserve">according </w:t>
      </w:r>
      <w:proofErr w:type="gramStart"/>
      <w:r w:rsidR="00E27DF2">
        <w:t>to:</w:t>
      </w:r>
      <w:proofErr w:type="gramEnd"/>
      <w:r w:rsidR="00E27DF2">
        <w:t xml:space="preserve"> </w:t>
      </w:r>
      <w:r w:rsidR="00F651D2">
        <w:t>alignment with</w:t>
      </w:r>
      <w:r w:rsidR="00C10724">
        <w:t xml:space="preserve"> the</w:t>
      </w:r>
      <w:r w:rsidR="00F651D2">
        <w:t xml:space="preserve"> </w:t>
      </w:r>
      <w:r w:rsidR="000D7768" w:rsidRPr="000D7768">
        <w:rPr>
          <w:color w:val="7030A0"/>
        </w:rPr>
        <w:t>[Organization]</w:t>
      </w:r>
      <w:r w:rsidR="00C10724" w:rsidRPr="00C10724">
        <w:rPr>
          <w:color w:val="000000" w:themeColor="text1"/>
        </w:rPr>
        <w:t>’s</w:t>
      </w:r>
      <w:r w:rsidR="000D7768">
        <w:t xml:space="preserve"> </w:t>
      </w:r>
      <w:r w:rsidR="00F651D2">
        <w:t>values</w:t>
      </w:r>
      <w:r w:rsidR="00A06381">
        <w:t xml:space="preserve">, magnitude of impact, and compliance with any applicable regulations.  </w:t>
      </w:r>
    </w:p>
    <w:p w14:paraId="3CBFAD6C" w14:textId="206CE958" w:rsidR="00E27DF2" w:rsidRDefault="00E27DF2" w:rsidP="00766D93">
      <w:pPr>
        <w:pStyle w:val="ListParagraph"/>
        <w:ind w:left="0"/>
      </w:pPr>
    </w:p>
    <w:p w14:paraId="0D409808" w14:textId="05431ADE" w:rsidR="00E27DF2" w:rsidRDefault="00E27DF2" w:rsidP="00766D93">
      <w:pPr>
        <w:pStyle w:val="ListParagraph"/>
        <w:ind w:left="0"/>
      </w:pPr>
      <w:r>
        <w:t>2.0</w:t>
      </w:r>
      <w:r>
        <w:tab/>
        <w:t>PURPOSE</w:t>
      </w:r>
    </w:p>
    <w:p w14:paraId="7A6A767C" w14:textId="740DEAD6" w:rsidR="00E27DF2" w:rsidRDefault="00E27DF2" w:rsidP="00766D93">
      <w:pPr>
        <w:pStyle w:val="ListParagraph"/>
        <w:ind w:left="0"/>
      </w:pPr>
    </w:p>
    <w:p w14:paraId="4060595F" w14:textId="182E59D4" w:rsidR="00E27DF2" w:rsidRDefault="00E27DF2" w:rsidP="00045DC9">
      <w:pPr>
        <w:pStyle w:val="ListParagraph"/>
        <w:ind w:left="0"/>
      </w:pPr>
      <w:r>
        <w:t xml:space="preserve">This Policy is adopted </w:t>
      </w:r>
      <w:proofErr w:type="gramStart"/>
      <w:r>
        <w:t>in order to</w:t>
      </w:r>
      <w:proofErr w:type="gramEnd"/>
      <w:r w:rsidR="00045DC9">
        <w:t xml:space="preserve"> align the </w:t>
      </w:r>
      <w:r w:rsidR="000D7768" w:rsidRPr="000D7768">
        <w:rPr>
          <w:color w:val="7030A0"/>
        </w:rPr>
        <w:t>[Organization]</w:t>
      </w:r>
      <w:r w:rsidR="00676FC5">
        <w:t xml:space="preserve">’s purchasing with its </w:t>
      </w:r>
      <w:r w:rsidR="00676FC5" w:rsidRPr="000D7768">
        <w:rPr>
          <w:color w:val="7030A0"/>
        </w:rPr>
        <w:t>[</w:t>
      </w:r>
      <w:r w:rsidR="00676FC5" w:rsidRPr="000D7768">
        <w:rPr>
          <w:i/>
          <w:iCs/>
          <w:color w:val="7030A0"/>
        </w:rPr>
        <w:t>climate, social equity, risk reduction, resource use reduction, stewardship, etc.</w:t>
      </w:r>
      <w:r w:rsidR="00676FC5" w:rsidRPr="000D7768">
        <w:rPr>
          <w:color w:val="7030A0"/>
        </w:rPr>
        <w:t>]</w:t>
      </w:r>
      <w:r w:rsidR="00676FC5">
        <w:t xml:space="preserve"> values and goals</w:t>
      </w:r>
      <w:r w:rsidR="007A42E7">
        <w:t xml:space="preserve"> and </w:t>
      </w:r>
      <w:r w:rsidR="007A42E7" w:rsidRPr="007A42E7">
        <w:rPr>
          <w:color w:val="7030A0"/>
        </w:rPr>
        <w:t>[related policies]</w:t>
      </w:r>
      <w:r w:rsidR="00676FC5" w:rsidRPr="007A42E7">
        <w:rPr>
          <w:color w:val="000000" w:themeColor="text1"/>
        </w:rPr>
        <w:t>.</w:t>
      </w:r>
      <w:r w:rsidR="00676FC5">
        <w:t xml:space="preserve">  In doing so, the </w:t>
      </w:r>
      <w:r w:rsidR="00676FC5" w:rsidRPr="000D7768">
        <w:rPr>
          <w:color w:val="7030A0"/>
        </w:rPr>
        <w:t>[Organization]</w:t>
      </w:r>
      <w:r w:rsidR="00676FC5">
        <w:t xml:space="preserve"> </w:t>
      </w:r>
      <w:r w:rsidR="007F1E13">
        <w:t>seeks to harness the influence of its purchasing to support markets for, and increase accessibility to, more sustainable goods and services.</w:t>
      </w:r>
    </w:p>
    <w:p w14:paraId="5846F2D4" w14:textId="34DE9272" w:rsidR="007F1E13" w:rsidRDefault="007F1E13" w:rsidP="00045DC9">
      <w:pPr>
        <w:pStyle w:val="ListParagraph"/>
        <w:ind w:left="0"/>
      </w:pPr>
    </w:p>
    <w:p w14:paraId="59A4FAAD" w14:textId="4F6D69D9" w:rsidR="007F1E13" w:rsidRDefault="00DC4CE9" w:rsidP="00045DC9">
      <w:pPr>
        <w:pStyle w:val="ListParagraph"/>
        <w:ind w:left="0"/>
      </w:pPr>
      <w:r>
        <w:t>3.0</w:t>
      </w:r>
      <w:r>
        <w:tab/>
        <w:t>APPLICABILITY</w:t>
      </w:r>
    </w:p>
    <w:p w14:paraId="33829A60" w14:textId="346927F9" w:rsidR="00DC4CE9" w:rsidRDefault="00DC4CE9" w:rsidP="00045DC9">
      <w:pPr>
        <w:pStyle w:val="ListParagraph"/>
        <w:ind w:left="0"/>
      </w:pPr>
    </w:p>
    <w:p w14:paraId="412F3FCB" w14:textId="129357F7" w:rsidR="00DC4CE9" w:rsidRDefault="007813D7" w:rsidP="00045DC9">
      <w:pPr>
        <w:pStyle w:val="ListParagraph"/>
        <w:ind w:left="0"/>
      </w:pPr>
      <w:r>
        <w:t xml:space="preserve">This policy applies to all types of </w:t>
      </w:r>
      <w:r w:rsidRPr="009233A2">
        <w:rPr>
          <w:color w:val="7030A0"/>
        </w:rPr>
        <w:t>[Organization]</w:t>
      </w:r>
      <w:r>
        <w:t xml:space="preserve">-funded procurements and to all </w:t>
      </w:r>
      <w:r w:rsidRPr="009233A2">
        <w:rPr>
          <w:color w:val="7030A0"/>
        </w:rPr>
        <w:t>[Organization]</w:t>
      </w:r>
      <w:r>
        <w:t xml:space="preserve"> divisions and employees.  </w:t>
      </w:r>
      <w:r w:rsidR="005C1001">
        <w:t>Specific employee roles, responsibilities, and expectations are fu</w:t>
      </w:r>
      <w:r w:rsidR="00AD58DD">
        <w:t>r</w:t>
      </w:r>
      <w:r w:rsidR="005C1001">
        <w:t>ther described within this policy.</w:t>
      </w:r>
    </w:p>
    <w:p w14:paraId="2C1C3E64" w14:textId="52925679" w:rsidR="005C1001" w:rsidRDefault="005C1001" w:rsidP="00045DC9">
      <w:pPr>
        <w:pStyle w:val="ListParagraph"/>
        <w:ind w:left="0"/>
      </w:pPr>
    </w:p>
    <w:p w14:paraId="0252DC09" w14:textId="739AEF0D" w:rsidR="005C1001" w:rsidRDefault="00050A48" w:rsidP="00045DC9">
      <w:pPr>
        <w:pStyle w:val="ListParagraph"/>
        <w:ind w:left="0"/>
      </w:pPr>
      <w:r>
        <w:t>4</w:t>
      </w:r>
      <w:r w:rsidR="0016443C">
        <w:t>.0</w:t>
      </w:r>
      <w:r w:rsidR="0016443C">
        <w:tab/>
      </w:r>
      <w:r w:rsidR="00731A8D">
        <w:t>POLICY IMPLEMENTATION</w:t>
      </w:r>
    </w:p>
    <w:p w14:paraId="7938DD29" w14:textId="3EB11F8E" w:rsidR="0016443C" w:rsidRDefault="0016443C" w:rsidP="00045DC9">
      <w:pPr>
        <w:pStyle w:val="ListParagraph"/>
        <w:ind w:left="0"/>
      </w:pPr>
    </w:p>
    <w:p w14:paraId="1B5723FC" w14:textId="64CCB9CA" w:rsidR="00F00307" w:rsidRDefault="00731A8D" w:rsidP="00045DC9">
      <w:pPr>
        <w:pStyle w:val="ListParagraph"/>
        <w:ind w:left="0"/>
      </w:pPr>
      <w:proofErr w:type="gramStart"/>
      <w:r>
        <w:t>In order to</w:t>
      </w:r>
      <w:proofErr w:type="gramEnd"/>
      <w:r>
        <w:t xml:space="preserve"> practice a continuous improvement approach</w:t>
      </w:r>
      <w:r w:rsidR="00F00307">
        <w:t xml:space="preserve"> to</w:t>
      </w:r>
      <w:r>
        <w:t xml:space="preserve"> understanding and taking appropriate responsibility for</w:t>
      </w:r>
      <w:r w:rsidR="005E288B">
        <w:t xml:space="preserve"> reducing the </w:t>
      </w:r>
      <w:r>
        <w:t xml:space="preserve">adverse environmental, social, and economic impacts of its purchasing, </w:t>
      </w:r>
      <w:r w:rsidR="00F00307">
        <w:t>this policy establishes the following implementation hierarchy:</w:t>
      </w:r>
    </w:p>
    <w:p w14:paraId="518C4167" w14:textId="3DF75971" w:rsidR="00F00307" w:rsidRDefault="00F00307" w:rsidP="00F00307">
      <w:pPr>
        <w:pStyle w:val="ListParagraph"/>
        <w:numPr>
          <w:ilvl w:val="0"/>
          <w:numId w:val="3"/>
        </w:numPr>
      </w:pPr>
      <w:r w:rsidRPr="00A94165">
        <w:rPr>
          <w:b/>
          <w:bCs/>
        </w:rPr>
        <w:t xml:space="preserve">Core </w:t>
      </w:r>
      <w:r w:rsidR="00884F60">
        <w:rPr>
          <w:b/>
          <w:bCs/>
        </w:rPr>
        <w:t>Strategies</w:t>
      </w:r>
      <w:r w:rsidR="005605E3" w:rsidRPr="00A94165">
        <w:rPr>
          <w:b/>
          <w:bCs/>
        </w:rPr>
        <w:t>.</w:t>
      </w:r>
      <w:r w:rsidR="00D43751">
        <w:rPr>
          <w:b/>
          <w:bCs/>
        </w:rPr>
        <w:t xml:space="preserve">  </w:t>
      </w:r>
      <w:r w:rsidR="00D43751">
        <w:t xml:space="preserve">These establish overarching sustainable procurement strategies to implement over time.  They provide value-aligned direction </w:t>
      </w:r>
      <w:r w:rsidR="0072180B">
        <w:t xml:space="preserve">to </w:t>
      </w:r>
      <w:proofErr w:type="gramStart"/>
      <w:r w:rsidR="0072180B">
        <w:t>take into account</w:t>
      </w:r>
      <w:proofErr w:type="gramEnd"/>
      <w:r w:rsidR="0072180B">
        <w:t xml:space="preserve"> during project and program planning, and </w:t>
      </w:r>
      <w:r w:rsidR="003A0A49">
        <w:t>direction from which</w:t>
      </w:r>
      <w:r w:rsidR="00D43751">
        <w:t xml:space="preserve"> to build </w:t>
      </w:r>
      <w:r w:rsidR="00AB7014">
        <w:t>minimum requirements, best practices,</w:t>
      </w:r>
      <w:r w:rsidR="00D43751">
        <w:t xml:space="preserve"> and related implementation tools.</w:t>
      </w:r>
      <w:r w:rsidR="005605E3">
        <w:t xml:space="preserve">  </w:t>
      </w:r>
    </w:p>
    <w:p w14:paraId="220C516B" w14:textId="371E004C" w:rsidR="00F00307" w:rsidRDefault="00B111E6" w:rsidP="00F00307">
      <w:pPr>
        <w:pStyle w:val="ListParagraph"/>
        <w:numPr>
          <w:ilvl w:val="0"/>
          <w:numId w:val="3"/>
        </w:numPr>
      </w:pPr>
      <w:r w:rsidRPr="00A94165">
        <w:rPr>
          <w:b/>
          <w:bCs/>
        </w:rPr>
        <w:t xml:space="preserve">Minimum </w:t>
      </w:r>
      <w:r w:rsidR="00082E40">
        <w:rPr>
          <w:b/>
          <w:bCs/>
        </w:rPr>
        <w:t>Requirements</w:t>
      </w:r>
      <w:r w:rsidR="005605E3" w:rsidRPr="00A94165">
        <w:rPr>
          <w:b/>
          <w:bCs/>
        </w:rPr>
        <w:t>.</w:t>
      </w:r>
      <w:r w:rsidR="005605E3">
        <w:t xml:space="preserve">  </w:t>
      </w:r>
      <w:r w:rsidR="00D43751">
        <w:t xml:space="preserve">These are the specific </w:t>
      </w:r>
      <w:r w:rsidR="005E288B">
        <w:t xml:space="preserve">mandatory </w:t>
      </w:r>
      <w:r w:rsidR="00082E40">
        <w:t>requirements</w:t>
      </w:r>
      <w:r w:rsidR="00D43751">
        <w:t xml:space="preserve"> for a particular </w:t>
      </w:r>
      <w:r w:rsidR="00FD15D0">
        <w:t>good</w:t>
      </w:r>
      <w:r w:rsidR="005E288B">
        <w:t xml:space="preserve"> or service category.  They are the actions that support sustainable procurement Core Strategies. </w:t>
      </w:r>
    </w:p>
    <w:p w14:paraId="016B8335" w14:textId="14FE3B0E" w:rsidR="005605E3" w:rsidRDefault="00082E40" w:rsidP="00F00307">
      <w:pPr>
        <w:pStyle w:val="ListParagraph"/>
        <w:numPr>
          <w:ilvl w:val="0"/>
          <w:numId w:val="3"/>
        </w:numPr>
      </w:pPr>
      <w:r>
        <w:rPr>
          <w:b/>
          <w:bCs/>
        </w:rPr>
        <w:t xml:space="preserve">Leadership </w:t>
      </w:r>
      <w:r w:rsidR="00B111E6" w:rsidRPr="00A94165">
        <w:rPr>
          <w:b/>
          <w:bCs/>
        </w:rPr>
        <w:t>Opportunities</w:t>
      </w:r>
      <w:r w:rsidR="00154669">
        <w:t xml:space="preserve">.  These are developed to identify </w:t>
      </w:r>
      <w:r w:rsidR="005E288B">
        <w:t xml:space="preserve">(optional) </w:t>
      </w:r>
      <w:r w:rsidR="00154669">
        <w:t>opportunities for continuous improvement</w:t>
      </w:r>
      <w:r w:rsidR="005E288B">
        <w:t xml:space="preserve"> among stakeholders</w:t>
      </w:r>
      <w:r w:rsidR="00154669">
        <w:t xml:space="preserve">.  They </w:t>
      </w:r>
      <w:r w:rsidR="000809E0">
        <w:t>i</w:t>
      </w:r>
      <w:r w:rsidR="00154669">
        <w:t xml:space="preserve">dentify how </w:t>
      </w:r>
      <w:r w:rsidR="00AD58DD">
        <w:t xml:space="preserve">to </w:t>
      </w:r>
      <w:r w:rsidR="00154669">
        <w:t xml:space="preserve">go beyond Minimum </w:t>
      </w:r>
      <w:r>
        <w:t>Requirements</w:t>
      </w:r>
      <w:r w:rsidR="00154669">
        <w:t xml:space="preserve"> in a particular </w:t>
      </w:r>
      <w:r w:rsidR="00FD15D0">
        <w:t>good</w:t>
      </w:r>
      <w:r w:rsidR="00154669">
        <w:t xml:space="preserve"> or service category</w:t>
      </w:r>
      <w:r w:rsidR="000809E0">
        <w:t xml:space="preserve"> to further reduce adverse impacts</w:t>
      </w:r>
      <w:r w:rsidR="00154669">
        <w:t>.</w:t>
      </w:r>
    </w:p>
    <w:p w14:paraId="2C1B1EC7" w14:textId="77777777" w:rsidR="00482216" w:rsidRDefault="00482216" w:rsidP="00045DC9">
      <w:pPr>
        <w:pStyle w:val="ListParagraph"/>
        <w:ind w:left="0"/>
      </w:pPr>
    </w:p>
    <w:p w14:paraId="64D55C43" w14:textId="04D9A58B" w:rsidR="00F00307" w:rsidRDefault="00A94165" w:rsidP="00045DC9">
      <w:pPr>
        <w:pStyle w:val="ListParagraph"/>
        <w:ind w:left="0"/>
      </w:pPr>
      <w:r w:rsidRPr="00CD6A25">
        <w:t xml:space="preserve">All </w:t>
      </w:r>
      <w:r w:rsidRPr="00FA6387">
        <w:rPr>
          <w:color w:val="7030A0"/>
        </w:rPr>
        <w:t>[Organization]</w:t>
      </w:r>
      <w:r w:rsidRPr="00CD6A25">
        <w:t xml:space="preserve"> employees shall </w:t>
      </w:r>
      <w:r w:rsidR="00AB7880">
        <w:t>review the</w:t>
      </w:r>
      <w:r w:rsidRPr="00CD6A25">
        <w:t xml:space="preserve"> Core </w:t>
      </w:r>
      <w:r w:rsidR="00CD6A25" w:rsidRPr="00CD6A25">
        <w:t>Strategies</w:t>
      </w:r>
      <w:r w:rsidRPr="00CD6A25">
        <w:t xml:space="preserve"> and </w:t>
      </w:r>
      <w:r w:rsidR="00AB7880">
        <w:t xml:space="preserve">follow the </w:t>
      </w:r>
      <w:r w:rsidRPr="00CD6A25">
        <w:t xml:space="preserve">Minimum </w:t>
      </w:r>
      <w:r w:rsidR="00AB7014">
        <w:t>Requirement</w:t>
      </w:r>
      <w:r w:rsidRPr="00CD6A25">
        <w:t>s when</w:t>
      </w:r>
      <w:r w:rsidRPr="00A94165">
        <w:t xml:space="preserve"> planning and designing projects, developing project and operations budgets, developing asset management plans, writing product and service specifications or standards, selecting materials, making purchasing or supplier decisions, and developing and </w:t>
      </w:r>
      <w:r w:rsidRPr="00A94165">
        <w:lastRenderedPageBreak/>
        <w:t xml:space="preserve">managing </w:t>
      </w:r>
      <w:r w:rsidRPr="00FA6387">
        <w:rPr>
          <w:color w:val="7030A0"/>
        </w:rPr>
        <w:t>[Organization]</w:t>
      </w:r>
      <w:r w:rsidRPr="00A94165">
        <w:t xml:space="preserve"> contracts and price agreements as applicable to their roles and responsibilities and/or to a specific project.</w:t>
      </w:r>
    </w:p>
    <w:p w14:paraId="2BE8D26B" w14:textId="77777777" w:rsidR="00A94165" w:rsidRDefault="00A94165" w:rsidP="00045DC9">
      <w:pPr>
        <w:pStyle w:val="ListParagraph"/>
        <w:ind w:left="0"/>
      </w:pPr>
    </w:p>
    <w:p w14:paraId="505DB45A" w14:textId="1C58ACD0" w:rsidR="0016443C" w:rsidRDefault="00050A48" w:rsidP="00045DC9">
      <w:pPr>
        <w:pStyle w:val="ListParagraph"/>
        <w:ind w:left="0"/>
      </w:pPr>
      <w:r>
        <w:t>5</w:t>
      </w:r>
      <w:r w:rsidR="00A94165">
        <w:t>.0</w:t>
      </w:r>
      <w:r w:rsidR="00644C33">
        <w:tab/>
      </w:r>
      <w:r w:rsidR="00644C33" w:rsidRPr="00CD6A25">
        <w:t>CORE STRATEGIES</w:t>
      </w:r>
    </w:p>
    <w:p w14:paraId="31ADA9AA" w14:textId="6657490D" w:rsidR="00644C33" w:rsidRDefault="00644C33" w:rsidP="00045DC9">
      <w:pPr>
        <w:pStyle w:val="ListParagraph"/>
        <w:ind w:left="0"/>
      </w:pPr>
    </w:p>
    <w:p w14:paraId="3D9A5D1A" w14:textId="18E58E8E" w:rsidR="0059721B" w:rsidRDefault="0059721B" w:rsidP="00045DC9">
      <w:pPr>
        <w:pStyle w:val="ListParagraph"/>
        <w:ind w:left="0"/>
      </w:pPr>
      <w:r>
        <w:t xml:space="preserve">For any of the following Core Strategies, it is understood that </w:t>
      </w:r>
      <w:r w:rsidR="00AA5D28">
        <w:t>they shall be undertaken</w:t>
      </w:r>
      <w:r w:rsidR="0072180B">
        <w:t xml:space="preserve"> </w:t>
      </w:r>
      <w:r w:rsidR="00AA5D28">
        <w:t>in conjunction with traditional purchasing considerations, such as budget, product/service performance requirements, and availability.</w:t>
      </w:r>
      <w:r w:rsidR="00E14835">
        <w:t xml:space="preserve">  </w:t>
      </w:r>
      <w:r w:rsidR="00AB7880">
        <w:t xml:space="preserve">Core Strategies </w:t>
      </w:r>
      <w:r w:rsidR="0072180B">
        <w:t xml:space="preserve">provide direction for decision making with mandated actions implemented through the Minimum </w:t>
      </w:r>
      <w:r w:rsidR="00CC7F72">
        <w:t>Requirements</w:t>
      </w:r>
      <w:r w:rsidR="0082391C">
        <w:t xml:space="preserve">, but also as needed in the absence of specific Minimum </w:t>
      </w:r>
      <w:r w:rsidR="00CC7F72">
        <w:t>Requirements</w:t>
      </w:r>
      <w:r w:rsidR="0072180B">
        <w:t xml:space="preserve">.  </w:t>
      </w:r>
      <w:r w:rsidR="009355E0" w:rsidRPr="009355E0">
        <w:t>Prior to making new purchases, employees are also expected to</w:t>
      </w:r>
      <w:r w:rsidR="002D0AEB">
        <w:t xml:space="preserve"> </w:t>
      </w:r>
      <w:r w:rsidR="009355E0" w:rsidRPr="009355E0">
        <w:t>consider</w:t>
      </w:r>
      <w:r w:rsidR="002D0AEB">
        <w:t>:</w:t>
      </w:r>
      <w:r w:rsidR="009355E0" w:rsidRPr="009355E0">
        <w:t xml:space="preserve"> the need for th</w:t>
      </w:r>
      <w:r w:rsidR="002D0AEB">
        <w:t xml:space="preserve">e </w:t>
      </w:r>
      <w:r w:rsidR="009355E0" w:rsidRPr="009355E0">
        <w:t>purchase</w:t>
      </w:r>
      <w:r w:rsidR="002D0AEB">
        <w:t>; opportunities to extend the life of the existing item</w:t>
      </w:r>
      <w:r w:rsidR="00BD4817">
        <w:t xml:space="preserve"> or material</w:t>
      </w:r>
      <w:r w:rsidR="002D0AEB">
        <w:t>;</w:t>
      </w:r>
      <w:r w:rsidR="009355E0" w:rsidRPr="009355E0">
        <w:t xml:space="preserve"> and </w:t>
      </w:r>
      <w:r w:rsidR="00BD4817">
        <w:t>meeting the operational need through a different means (</w:t>
      </w:r>
      <w:proofErr w:type="gramStart"/>
      <w:r w:rsidR="00BD4817">
        <w:t>e.g.</w:t>
      </w:r>
      <w:proofErr w:type="gramEnd"/>
      <w:r w:rsidR="00BD4817">
        <w:t xml:space="preserve"> renting vs. purchasing).</w:t>
      </w:r>
    </w:p>
    <w:p w14:paraId="30CA9232" w14:textId="77777777" w:rsidR="0059721B" w:rsidRDefault="0059721B" w:rsidP="00045DC9">
      <w:pPr>
        <w:pStyle w:val="ListParagraph"/>
        <w:ind w:left="0"/>
      </w:pPr>
    </w:p>
    <w:p w14:paraId="662174FE" w14:textId="58394341" w:rsidR="00884F60" w:rsidRPr="00730698" w:rsidRDefault="00B929E5" w:rsidP="00884F60">
      <w:pPr>
        <w:pStyle w:val="ListParagraph"/>
        <w:numPr>
          <w:ilvl w:val="0"/>
          <w:numId w:val="4"/>
        </w:numPr>
      </w:pPr>
      <w:r>
        <w:t>Utilize</w:t>
      </w:r>
      <w:r w:rsidR="00884F60" w:rsidRPr="00730698">
        <w:t xml:space="preserve"> processes, technologies, products, or services that reduce consumption of natural resources or chemicals. </w:t>
      </w:r>
    </w:p>
    <w:p w14:paraId="73DC9998" w14:textId="39BD5081" w:rsidR="00884F60" w:rsidRDefault="007A48C4" w:rsidP="00644C33">
      <w:pPr>
        <w:pStyle w:val="ListParagraph"/>
        <w:numPr>
          <w:ilvl w:val="0"/>
          <w:numId w:val="4"/>
        </w:numPr>
      </w:pPr>
      <w:r>
        <w:t>Employ</w:t>
      </w:r>
      <w:r w:rsidR="00884F60" w:rsidRPr="00730698">
        <w:t xml:space="preserve"> processes, technologies, products, or services that reduce</w:t>
      </w:r>
      <w:r w:rsidR="00884F60">
        <w:t xml:space="preserve"> waste.</w:t>
      </w:r>
    </w:p>
    <w:p w14:paraId="732ADDA9" w14:textId="2418CCD7" w:rsidR="00644C33" w:rsidRPr="00F86535" w:rsidRDefault="00644C33" w:rsidP="00644C33">
      <w:pPr>
        <w:pStyle w:val="ListParagraph"/>
        <w:numPr>
          <w:ilvl w:val="0"/>
          <w:numId w:val="4"/>
        </w:numPr>
        <w:rPr>
          <w:color w:val="000000" w:themeColor="text1"/>
        </w:rPr>
      </w:pPr>
      <w:r>
        <w:t xml:space="preserve">Invest in energy </w:t>
      </w:r>
      <w:r w:rsidR="000C58AA">
        <w:t>and fuel-</w:t>
      </w:r>
      <w:r>
        <w:t xml:space="preserve">efficient products, services, and technologies that result in </w:t>
      </w:r>
      <w:r w:rsidRPr="00F86535">
        <w:rPr>
          <w:color w:val="000000" w:themeColor="text1"/>
        </w:rPr>
        <w:t xml:space="preserve">simple paybacks of </w:t>
      </w:r>
      <w:r w:rsidRPr="00FA6387">
        <w:rPr>
          <w:color w:val="7030A0"/>
        </w:rPr>
        <w:t>[</w:t>
      </w:r>
      <w:r w:rsidR="000D7768" w:rsidRPr="00FA6387">
        <w:rPr>
          <w:i/>
          <w:iCs/>
          <w:color w:val="7030A0"/>
        </w:rPr>
        <w:t>identify timeframe, typically between</w:t>
      </w:r>
      <w:r w:rsidR="000D7768" w:rsidRPr="00FA6387">
        <w:rPr>
          <w:color w:val="7030A0"/>
        </w:rPr>
        <w:t xml:space="preserve"> </w:t>
      </w:r>
      <w:r w:rsidRPr="00FA6387">
        <w:rPr>
          <w:i/>
          <w:iCs/>
          <w:color w:val="7030A0"/>
        </w:rPr>
        <w:t>5-10</w:t>
      </w:r>
      <w:r w:rsidRPr="00FA6387">
        <w:rPr>
          <w:color w:val="7030A0"/>
        </w:rPr>
        <w:t>]</w:t>
      </w:r>
      <w:r w:rsidRPr="00F86535">
        <w:rPr>
          <w:color w:val="000000" w:themeColor="text1"/>
        </w:rPr>
        <w:t xml:space="preserve"> years or less</w:t>
      </w:r>
      <w:r w:rsidR="00810994">
        <w:rPr>
          <w:color w:val="000000" w:themeColor="text1"/>
        </w:rPr>
        <w:t>, based on Total Cost of Ownership</w:t>
      </w:r>
      <w:r w:rsidRPr="00F86535">
        <w:rPr>
          <w:color w:val="000000" w:themeColor="text1"/>
        </w:rPr>
        <w:t>.</w:t>
      </w:r>
    </w:p>
    <w:p w14:paraId="70696629" w14:textId="50A92AE3" w:rsidR="000C58AA" w:rsidRPr="00F86535" w:rsidRDefault="00B929E5" w:rsidP="00644C33">
      <w:pPr>
        <w:pStyle w:val="ListParagraph"/>
        <w:numPr>
          <w:ilvl w:val="0"/>
          <w:numId w:val="4"/>
        </w:numPr>
        <w:rPr>
          <w:color w:val="000000" w:themeColor="text1"/>
        </w:rPr>
      </w:pPr>
      <w:r>
        <w:rPr>
          <w:color w:val="000000" w:themeColor="text1"/>
        </w:rPr>
        <w:t xml:space="preserve">Invest in </w:t>
      </w:r>
      <w:r w:rsidR="000C58AA" w:rsidRPr="00F86535">
        <w:rPr>
          <w:color w:val="000000" w:themeColor="text1"/>
        </w:rPr>
        <w:t xml:space="preserve">processes, technologies, products, or services that reduce the sourcing and use of </w:t>
      </w:r>
      <w:r w:rsidR="009C34C2" w:rsidRPr="00F86535">
        <w:rPr>
          <w:color w:val="000000" w:themeColor="text1"/>
        </w:rPr>
        <w:t>C</w:t>
      </w:r>
      <w:r w:rsidR="000C58AA" w:rsidRPr="00F86535">
        <w:rPr>
          <w:color w:val="000000" w:themeColor="text1"/>
        </w:rPr>
        <w:t>arbon</w:t>
      </w:r>
      <w:r w:rsidR="009C34C2" w:rsidRPr="00F86535">
        <w:rPr>
          <w:color w:val="000000" w:themeColor="text1"/>
        </w:rPr>
        <w:t>-B</w:t>
      </w:r>
      <w:r w:rsidR="000C58AA" w:rsidRPr="00F86535">
        <w:rPr>
          <w:color w:val="000000" w:themeColor="text1"/>
        </w:rPr>
        <w:t xml:space="preserve">ased </w:t>
      </w:r>
      <w:r w:rsidR="009C34C2" w:rsidRPr="00F86535">
        <w:rPr>
          <w:color w:val="000000" w:themeColor="text1"/>
        </w:rPr>
        <w:t>F</w:t>
      </w:r>
      <w:r w:rsidR="000C58AA" w:rsidRPr="00F86535">
        <w:rPr>
          <w:color w:val="000000" w:themeColor="text1"/>
        </w:rPr>
        <w:t>uels.</w:t>
      </w:r>
    </w:p>
    <w:p w14:paraId="49714678" w14:textId="34143EFF" w:rsidR="00AF6D23" w:rsidRDefault="004923C3" w:rsidP="00AF6D23">
      <w:pPr>
        <w:pStyle w:val="ListParagraph"/>
        <w:numPr>
          <w:ilvl w:val="0"/>
          <w:numId w:val="4"/>
        </w:numPr>
      </w:pPr>
      <w:r>
        <w:t>Seek</w:t>
      </w:r>
      <w:r w:rsidR="00AF6D23" w:rsidRPr="00730698">
        <w:t xml:space="preserve"> processes, technologies, products, or services that </w:t>
      </w:r>
      <w:r w:rsidR="00AF6D23">
        <w:t xml:space="preserve">support </w:t>
      </w:r>
      <w:r w:rsidR="00931381">
        <w:t xml:space="preserve">a </w:t>
      </w:r>
      <w:r w:rsidR="009C34C2" w:rsidRPr="009C34C2">
        <w:rPr>
          <w:color w:val="000000" w:themeColor="text1"/>
        </w:rPr>
        <w:t>C</w:t>
      </w:r>
      <w:r w:rsidR="00AF6D23" w:rsidRPr="009C34C2">
        <w:rPr>
          <w:color w:val="000000" w:themeColor="text1"/>
        </w:rPr>
        <w:t>ircular</w:t>
      </w:r>
      <w:r w:rsidR="0059721B" w:rsidRPr="009C34C2">
        <w:rPr>
          <w:color w:val="000000" w:themeColor="text1"/>
        </w:rPr>
        <w:t xml:space="preserve"> </w:t>
      </w:r>
      <w:r w:rsidR="009C34C2" w:rsidRPr="009C34C2">
        <w:rPr>
          <w:color w:val="000000" w:themeColor="text1"/>
        </w:rPr>
        <w:t>E</w:t>
      </w:r>
      <w:r w:rsidR="00931381" w:rsidRPr="009C34C2">
        <w:rPr>
          <w:color w:val="000000" w:themeColor="text1"/>
        </w:rPr>
        <w:t>conomy</w:t>
      </w:r>
      <w:r w:rsidR="0059721B" w:rsidRPr="009C34C2">
        <w:rPr>
          <w:color w:val="000000" w:themeColor="text1"/>
        </w:rPr>
        <w:t>.</w:t>
      </w:r>
    </w:p>
    <w:p w14:paraId="6DB46541" w14:textId="21083976" w:rsidR="00C326DF" w:rsidRPr="00C326DF" w:rsidRDefault="004923C3" w:rsidP="00C326DF">
      <w:pPr>
        <w:pStyle w:val="ListParagraph"/>
        <w:numPr>
          <w:ilvl w:val="0"/>
          <w:numId w:val="4"/>
        </w:numPr>
      </w:pPr>
      <w:r>
        <w:t>Seek</w:t>
      </w:r>
      <w:r w:rsidR="00C326DF" w:rsidRPr="00C326DF">
        <w:t xml:space="preserve"> processes, technologies, products, or services that support</w:t>
      </w:r>
      <w:r w:rsidR="00C326DF" w:rsidRPr="00C326DF">
        <w:rPr>
          <w:color w:val="7030A0"/>
        </w:rPr>
        <w:t xml:space="preserve"> </w:t>
      </w:r>
      <w:r w:rsidR="00C326DF" w:rsidRPr="00C326DF">
        <w:rPr>
          <w:color w:val="000000" w:themeColor="text1"/>
        </w:rPr>
        <w:t>biodiversit</w:t>
      </w:r>
      <w:r w:rsidR="00C326DF">
        <w:rPr>
          <w:color w:val="000000" w:themeColor="text1"/>
        </w:rPr>
        <w:t>y</w:t>
      </w:r>
      <w:r w:rsidR="00C326DF" w:rsidRPr="00C326DF">
        <w:rPr>
          <w:color w:val="000000" w:themeColor="text1"/>
        </w:rPr>
        <w:t xml:space="preserve"> </w:t>
      </w:r>
      <w:r w:rsidR="00C326DF">
        <w:rPr>
          <w:color w:val="000000" w:themeColor="text1"/>
        </w:rPr>
        <w:t>and healthy, resilient natural habitats.</w:t>
      </w:r>
    </w:p>
    <w:p w14:paraId="32A373EC" w14:textId="1ACDC7FF" w:rsidR="00644C33" w:rsidRDefault="0059721B" w:rsidP="00644C33">
      <w:pPr>
        <w:pStyle w:val="ListParagraph"/>
        <w:numPr>
          <w:ilvl w:val="0"/>
          <w:numId w:val="4"/>
        </w:numPr>
      </w:pPr>
      <w:r>
        <w:t xml:space="preserve">Seek out, specify, and purchase products with lower </w:t>
      </w:r>
      <w:r w:rsidR="009C34C2" w:rsidRPr="009C34C2">
        <w:rPr>
          <w:color w:val="000000" w:themeColor="text1"/>
        </w:rPr>
        <w:t>E</w:t>
      </w:r>
      <w:r w:rsidRPr="009C34C2">
        <w:rPr>
          <w:color w:val="000000" w:themeColor="text1"/>
        </w:rPr>
        <w:t xml:space="preserve">mbodied </w:t>
      </w:r>
      <w:r w:rsidR="009C34C2" w:rsidRPr="009C34C2">
        <w:rPr>
          <w:color w:val="000000" w:themeColor="text1"/>
        </w:rPr>
        <w:t>C</w:t>
      </w:r>
      <w:r w:rsidRPr="009C34C2">
        <w:rPr>
          <w:color w:val="000000" w:themeColor="text1"/>
        </w:rPr>
        <w:t xml:space="preserve">arbon </w:t>
      </w:r>
      <w:r>
        <w:t>than the status quo.</w:t>
      </w:r>
    </w:p>
    <w:p w14:paraId="1447B013" w14:textId="4527B60C" w:rsidR="002859DD" w:rsidRDefault="002859DD" w:rsidP="00644C33">
      <w:pPr>
        <w:pStyle w:val="ListParagraph"/>
        <w:numPr>
          <w:ilvl w:val="0"/>
          <w:numId w:val="4"/>
        </w:numPr>
      </w:pPr>
      <w:r>
        <w:t xml:space="preserve">Seek out, specify, and purchase products that minimize exposure of </w:t>
      </w:r>
      <w:r w:rsidRPr="009C34C2">
        <w:rPr>
          <w:color w:val="000000" w:themeColor="text1"/>
        </w:rPr>
        <w:t xml:space="preserve">Substances of Very High Concern </w:t>
      </w:r>
      <w:r>
        <w:t>to people and the environment.</w:t>
      </w:r>
    </w:p>
    <w:p w14:paraId="699F8987" w14:textId="652813B0" w:rsidR="001C4DAD" w:rsidRDefault="001C4DAD" w:rsidP="00644C33">
      <w:pPr>
        <w:pStyle w:val="ListParagraph"/>
        <w:numPr>
          <w:ilvl w:val="0"/>
          <w:numId w:val="4"/>
        </w:numPr>
      </w:pPr>
      <w:r>
        <w:t xml:space="preserve">Consciously design procurement processes and related programing to support a diverse contractor base, including </w:t>
      </w:r>
      <w:r w:rsidR="00427828">
        <w:t>small, minority, and/or women-owned businesses.</w:t>
      </w:r>
    </w:p>
    <w:p w14:paraId="4D882ECA" w14:textId="1AAFB494" w:rsidR="00E14835" w:rsidRDefault="00B929E5" w:rsidP="00644C33">
      <w:pPr>
        <w:pStyle w:val="ListParagraph"/>
        <w:numPr>
          <w:ilvl w:val="0"/>
          <w:numId w:val="4"/>
        </w:numPr>
      </w:pPr>
      <w:r>
        <w:t>Seek out</w:t>
      </w:r>
      <w:r w:rsidR="0003071F">
        <w:t xml:space="preserve"> processes, technologies, </w:t>
      </w:r>
      <w:r w:rsidR="00D300EC">
        <w:t>goods</w:t>
      </w:r>
      <w:r w:rsidR="0003071F">
        <w:t xml:space="preserve">, or services that support transparency in either or both the </w:t>
      </w:r>
      <w:r w:rsidR="0003071F" w:rsidRPr="00FA6387">
        <w:rPr>
          <w:color w:val="7030A0"/>
        </w:rPr>
        <w:t>[Organization’s]</w:t>
      </w:r>
      <w:r w:rsidR="0003071F">
        <w:t xml:space="preserve"> supply chain or product disposal endpoints</w:t>
      </w:r>
      <w:r w:rsidR="00D300EC">
        <w:t xml:space="preserve"> regarding</w:t>
      </w:r>
      <w:r w:rsidR="0003071F">
        <w:t xml:space="preserve"> compliance with environmental regulati</w:t>
      </w:r>
      <w:r w:rsidR="0003071F" w:rsidRPr="009C34C2">
        <w:rPr>
          <w:color w:val="000000" w:themeColor="text1"/>
        </w:rPr>
        <w:t xml:space="preserve">ons and </w:t>
      </w:r>
      <w:r w:rsidR="00931381" w:rsidRPr="009C34C2">
        <w:rPr>
          <w:color w:val="000000" w:themeColor="text1"/>
        </w:rPr>
        <w:t>Core L</w:t>
      </w:r>
      <w:r w:rsidR="00CB12ED" w:rsidRPr="009C34C2">
        <w:rPr>
          <w:color w:val="000000" w:themeColor="text1"/>
        </w:rPr>
        <w:t>abor</w:t>
      </w:r>
      <w:r w:rsidR="00931381" w:rsidRPr="009C34C2">
        <w:rPr>
          <w:color w:val="000000" w:themeColor="text1"/>
        </w:rPr>
        <w:t xml:space="preserve"> and H</w:t>
      </w:r>
      <w:r w:rsidR="00CB12ED" w:rsidRPr="009C34C2">
        <w:rPr>
          <w:color w:val="000000" w:themeColor="text1"/>
        </w:rPr>
        <w:t xml:space="preserve">uman </w:t>
      </w:r>
      <w:r w:rsidR="00931381" w:rsidRPr="009C34C2">
        <w:rPr>
          <w:color w:val="000000" w:themeColor="text1"/>
        </w:rPr>
        <w:t>R</w:t>
      </w:r>
      <w:r w:rsidR="00CB12ED" w:rsidRPr="009C34C2">
        <w:rPr>
          <w:color w:val="000000" w:themeColor="text1"/>
        </w:rPr>
        <w:t xml:space="preserve">ights in the </w:t>
      </w:r>
      <w:r w:rsidR="00931381" w:rsidRPr="009C34C2">
        <w:rPr>
          <w:color w:val="000000" w:themeColor="text1"/>
        </w:rPr>
        <w:t>W</w:t>
      </w:r>
      <w:r w:rsidR="00CB12ED" w:rsidRPr="009C34C2">
        <w:rPr>
          <w:color w:val="000000" w:themeColor="text1"/>
        </w:rPr>
        <w:t>orkplace</w:t>
      </w:r>
      <w:r w:rsidR="00931381" w:rsidRPr="009C34C2">
        <w:rPr>
          <w:color w:val="000000" w:themeColor="text1"/>
        </w:rPr>
        <w:t>.</w:t>
      </w:r>
    </w:p>
    <w:p w14:paraId="2EF6B01E" w14:textId="378DAEA4" w:rsidR="0003071F" w:rsidRDefault="00A403C8" w:rsidP="00644C33">
      <w:pPr>
        <w:pStyle w:val="ListParagraph"/>
        <w:numPr>
          <w:ilvl w:val="0"/>
          <w:numId w:val="4"/>
        </w:numPr>
      </w:pPr>
      <w:r>
        <w:t xml:space="preserve">When using social or environmental product labels, seek out social/ecolabels that demonstrate that the product or service was independently certified to a reputable third-party environmental and/or social product or service leadership standard, preferably a multi-attribute standard that evaluates </w:t>
      </w:r>
      <w:r w:rsidR="00785844">
        <w:t>products</w:t>
      </w:r>
      <w:r>
        <w:t xml:space="preserve"> or services along their entire life cycle.</w:t>
      </w:r>
    </w:p>
    <w:p w14:paraId="67F769DE" w14:textId="483EC3E9" w:rsidR="007C1B2C" w:rsidRDefault="007C1B2C" w:rsidP="007C1B2C">
      <w:pPr>
        <w:pStyle w:val="ListParagraph"/>
        <w:numPr>
          <w:ilvl w:val="0"/>
          <w:numId w:val="4"/>
        </w:numPr>
      </w:pPr>
      <w:r>
        <w:t>Whenever possible, utilize</w:t>
      </w:r>
      <w:r w:rsidR="009C34C2">
        <w:t xml:space="preserve"> </w:t>
      </w:r>
      <w:r w:rsidR="009C34C2" w:rsidRPr="009C34C2">
        <w:rPr>
          <w:color w:val="000000" w:themeColor="text1"/>
        </w:rPr>
        <w:t>L</w:t>
      </w:r>
      <w:r w:rsidRPr="009C34C2">
        <w:rPr>
          <w:color w:val="000000" w:themeColor="text1"/>
        </w:rPr>
        <w:t>ife</w:t>
      </w:r>
      <w:r w:rsidR="00BD410C" w:rsidRPr="009C34C2">
        <w:rPr>
          <w:color w:val="000000" w:themeColor="text1"/>
        </w:rPr>
        <w:t xml:space="preserve"> </w:t>
      </w:r>
      <w:r w:rsidR="009C34C2" w:rsidRPr="009C34C2">
        <w:rPr>
          <w:color w:val="000000" w:themeColor="text1"/>
        </w:rPr>
        <w:t>C</w:t>
      </w:r>
      <w:r w:rsidRPr="009C34C2">
        <w:rPr>
          <w:color w:val="000000" w:themeColor="text1"/>
        </w:rPr>
        <w:t xml:space="preserve">ycle </w:t>
      </w:r>
      <w:r w:rsidR="009C34C2" w:rsidRPr="009C34C2">
        <w:rPr>
          <w:color w:val="000000" w:themeColor="text1"/>
        </w:rPr>
        <w:t>C</w:t>
      </w:r>
      <w:r w:rsidRPr="009C34C2">
        <w:rPr>
          <w:color w:val="000000" w:themeColor="text1"/>
        </w:rPr>
        <w:t xml:space="preserve">osting </w:t>
      </w:r>
      <w:r>
        <w:t>methods to determine the full cost of a product, service</w:t>
      </w:r>
      <w:r w:rsidR="009C5FD0">
        <w:t>,</w:t>
      </w:r>
      <w:r>
        <w:t xml:space="preserve"> or design.</w:t>
      </w:r>
    </w:p>
    <w:p w14:paraId="68F3B1C3" w14:textId="42963789" w:rsidR="007C1B2C" w:rsidRDefault="007C1B2C" w:rsidP="00331953"/>
    <w:p w14:paraId="17DD5C50" w14:textId="1B3CE776" w:rsidR="00331953" w:rsidRDefault="00050A48" w:rsidP="00BD3CFF">
      <w:pPr>
        <w:keepNext/>
      </w:pPr>
      <w:r>
        <w:lastRenderedPageBreak/>
        <w:t>6</w:t>
      </w:r>
      <w:r w:rsidR="004C71BB">
        <w:t xml:space="preserve">.0 </w:t>
      </w:r>
      <w:r w:rsidR="004C71BB">
        <w:tab/>
        <w:t xml:space="preserve">MINIMUM </w:t>
      </w:r>
      <w:r w:rsidR="00CC7F72">
        <w:t>REQUIREMENTS</w:t>
      </w:r>
      <w:r w:rsidR="000809E0" w:rsidRPr="00D84D6C">
        <w:t xml:space="preserve"> &amp;</w:t>
      </w:r>
      <w:r w:rsidR="00CC7F72">
        <w:t xml:space="preserve"> LEADERSHIP </w:t>
      </w:r>
      <w:r w:rsidR="000809E0" w:rsidRPr="00D84D6C">
        <w:t>OPPORTUNITIES</w:t>
      </w:r>
    </w:p>
    <w:p w14:paraId="497D3437" w14:textId="77777777" w:rsidR="00BD3CFF" w:rsidRDefault="00BD3CFF" w:rsidP="00BD3CFF">
      <w:pPr>
        <w:keepNext/>
      </w:pPr>
    </w:p>
    <w:p w14:paraId="6D8A4CB5" w14:textId="5BBC190D" w:rsidR="00475E7D" w:rsidRDefault="00B529CC" w:rsidP="00BD3CFF">
      <w:pPr>
        <w:keepNext/>
      </w:pPr>
      <w:r>
        <w:t xml:space="preserve">Minimum </w:t>
      </w:r>
      <w:r w:rsidR="00CC7F72">
        <w:t>Requirement</w:t>
      </w:r>
      <w:r>
        <w:t xml:space="preserve">s </w:t>
      </w:r>
      <w:r w:rsidR="00D003D1">
        <w:t xml:space="preserve">and associated </w:t>
      </w:r>
      <w:r w:rsidR="00CC7F72">
        <w:t xml:space="preserve">Leadership </w:t>
      </w:r>
      <w:r w:rsidR="00D003D1" w:rsidRPr="00D84D6C">
        <w:t xml:space="preserve">Opportunities </w:t>
      </w:r>
      <w:r w:rsidRPr="00D84D6C">
        <w:t>for</w:t>
      </w:r>
      <w:r>
        <w:t xml:space="preserve"> </w:t>
      </w:r>
      <w:r w:rsidR="00785844">
        <w:t xml:space="preserve">a </w:t>
      </w:r>
      <w:r>
        <w:t xml:space="preserve">specific </w:t>
      </w:r>
      <w:r w:rsidR="00D300EC">
        <w:t>good</w:t>
      </w:r>
      <w:r>
        <w:t xml:space="preserve"> or service categor</w:t>
      </w:r>
      <w:r w:rsidR="00785844">
        <w:t xml:space="preserve">y </w:t>
      </w:r>
      <w:r>
        <w:t xml:space="preserve">shall be </w:t>
      </w:r>
      <w:r w:rsidR="00041649">
        <w:t>defined</w:t>
      </w:r>
      <w:r>
        <w:t xml:space="preserve"> and communicated through the </w:t>
      </w:r>
      <w:r w:rsidRPr="00CC0501">
        <w:rPr>
          <w:color w:val="7030A0"/>
        </w:rPr>
        <w:t>[Organization]</w:t>
      </w:r>
      <w:r w:rsidR="008F3F86">
        <w:t>’s</w:t>
      </w:r>
      <w:r>
        <w:t xml:space="preserve"> </w:t>
      </w:r>
      <w:r w:rsidR="006D79A3">
        <w:t>Sustainable Purchasing Guides</w:t>
      </w:r>
      <w:r>
        <w:t xml:space="preserve">.  </w:t>
      </w:r>
      <w:r w:rsidRPr="005F75EF">
        <w:t xml:space="preserve">These </w:t>
      </w:r>
      <w:r w:rsidR="006D79A3">
        <w:t>Sustainable Purchasing</w:t>
      </w:r>
      <w:r w:rsidRPr="005F75EF">
        <w:t xml:space="preserve"> Guides </w:t>
      </w:r>
      <w:r w:rsidR="004C50EB" w:rsidRPr="005F75EF">
        <w:t xml:space="preserve">shall be maintained and updated </w:t>
      </w:r>
      <w:r w:rsidR="008F3F86" w:rsidRPr="005F75EF">
        <w:t>by</w:t>
      </w:r>
      <w:r w:rsidR="008F3F86" w:rsidRPr="005F75EF">
        <w:rPr>
          <w:color w:val="FF0000"/>
        </w:rPr>
        <w:t xml:space="preserve"> </w:t>
      </w:r>
      <w:r w:rsidR="008F3F86" w:rsidRPr="005F75EF">
        <w:rPr>
          <w:color w:val="7030A0"/>
        </w:rPr>
        <w:t>[</w:t>
      </w:r>
      <w:r w:rsidR="008F3F86" w:rsidRPr="005F75EF">
        <w:rPr>
          <w:i/>
          <w:iCs/>
          <w:color w:val="7030A0"/>
        </w:rPr>
        <w:t xml:space="preserve">responsible </w:t>
      </w:r>
      <w:proofErr w:type="gramStart"/>
      <w:r w:rsidR="00BC1CEC" w:rsidRPr="005F75EF">
        <w:rPr>
          <w:i/>
          <w:iCs/>
          <w:color w:val="7030A0"/>
        </w:rPr>
        <w:t xml:space="preserve">entity </w:t>
      </w:r>
      <w:r w:rsidR="008F3F86" w:rsidRPr="005F75EF">
        <w:rPr>
          <w:i/>
          <w:iCs/>
          <w:color w:val="7030A0"/>
        </w:rPr>
        <w:t xml:space="preserve"> –</w:t>
      </w:r>
      <w:proofErr w:type="gramEnd"/>
      <w:r w:rsidR="008F3F86" w:rsidRPr="005F75EF">
        <w:rPr>
          <w:i/>
          <w:iCs/>
          <w:color w:val="7030A0"/>
        </w:rPr>
        <w:t xml:space="preserve"> same as who is identified in Roles section</w:t>
      </w:r>
      <w:r w:rsidR="008F3F86" w:rsidRPr="005F75EF">
        <w:rPr>
          <w:color w:val="7030A0"/>
        </w:rPr>
        <w:t xml:space="preserve">] </w:t>
      </w:r>
      <w:r w:rsidR="008F3F86" w:rsidRPr="005F75EF">
        <w:t xml:space="preserve">as needed to </w:t>
      </w:r>
      <w:r w:rsidR="004C50EB" w:rsidRPr="005F75EF">
        <w:t xml:space="preserve">keep content </w:t>
      </w:r>
      <w:r w:rsidR="008F3F86" w:rsidRPr="005F75EF">
        <w:t>current and relevant</w:t>
      </w:r>
      <w:r w:rsidR="004C50EB" w:rsidRPr="005F75EF">
        <w:t xml:space="preserve">.  </w:t>
      </w:r>
      <w:r w:rsidR="008F3F86" w:rsidRPr="005F75EF">
        <w:t xml:space="preserve">Updates to the </w:t>
      </w:r>
      <w:r w:rsidR="006D79A3">
        <w:t>Sustainable Purchasing</w:t>
      </w:r>
      <w:r w:rsidR="008F3F86" w:rsidRPr="005F75EF">
        <w:t xml:space="preserve"> Guides do not automatically trigger updates to this policy; they may be updated separately and thus more frequently, to maintain relevancy.  The </w:t>
      </w:r>
      <w:r w:rsidR="006D79A3">
        <w:t xml:space="preserve">Sustainable Purchasing </w:t>
      </w:r>
      <w:r w:rsidR="008F3F86" w:rsidRPr="005F75EF">
        <w:t>Guides shall be posted</w:t>
      </w:r>
      <w:r w:rsidRPr="005F75EF">
        <w:t xml:space="preserve"> </w:t>
      </w:r>
      <w:r w:rsidRPr="005F75EF">
        <w:rPr>
          <w:color w:val="7030A0"/>
        </w:rPr>
        <w:t>[</w:t>
      </w:r>
      <w:r w:rsidRPr="005F75EF">
        <w:rPr>
          <w:i/>
          <w:iCs/>
          <w:color w:val="7030A0"/>
        </w:rPr>
        <w:t>identify website, centralized file sharing spot, or other as applicable</w:t>
      </w:r>
      <w:r w:rsidRPr="005F75EF">
        <w:rPr>
          <w:color w:val="7030A0"/>
        </w:rPr>
        <w:t>]</w:t>
      </w:r>
      <w:r w:rsidRPr="005F75EF">
        <w:t>.</w:t>
      </w:r>
      <w:r>
        <w:t xml:space="preserve"> </w:t>
      </w:r>
      <w:r w:rsidR="008F3F86">
        <w:t xml:space="preserve">  </w:t>
      </w:r>
    </w:p>
    <w:p w14:paraId="4CB8490A" w14:textId="54D6D362" w:rsidR="00481017" w:rsidRDefault="00481017" w:rsidP="00331953"/>
    <w:p w14:paraId="50782CC5" w14:textId="5CECF9AD" w:rsidR="00481017" w:rsidRDefault="00481017" w:rsidP="00331953">
      <w:r>
        <w:t xml:space="preserve">Minimum </w:t>
      </w:r>
      <w:r w:rsidR="00CC7F72">
        <w:t>Requirements</w:t>
      </w:r>
      <w:r>
        <w:t xml:space="preserve"> shall be based </w:t>
      </w:r>
      <w:r w:rsidR="000D1EB6">
        <w:t>off</w:t>
      </w:r>
      <w:r>
        <w:t xml:space="preserve"> </w:t>
      </w:r>
      <w:r w:rsidR="001221B2">
        <w:t xml:space="preserve">well-researched and tested practices that </w:t>
      </w:r>
      <w:r w:rsidR="00953473">
        <w:t xml:space="preserve">are readily accessible and </w:t>
      </w:r>
      <w:r w:rsidR="001221B2">
        <w:t xml:space="preserve">have been confirmed to reduce an adverse impact when well-implemented.  They can be adopted from other reputable sources (other public agency, nonprofit, </w:t>
      </w:r>
      <w:r w:rsidR="009272F7">
        <w:t xml:space="preserve">subject matter experts, </w:t>
      </w:r>
      <w:r w:rsidR="001221B2">
        <w:t>etc.), or developed through a multi-stakeholder engagement process.</w:t>
      </w:r>
    </w:p>
    <w:p w14:paraId="699EDE98" w14:textId="0ECE5705" w:rsidR="00B7025E" w:rsidRDefault="00B7025E" w:rsidP="00331953"/>
    <w:p w14:paraId="1CED2094" w14:textId="01EB2E00" w:rsidR="00B7025E" w:rsidRDefault="00AB7014" w:rsidP="00331953">
      <w:r>
        <w:t>Leadership</w:t>
      </w:r>
      <w:r w:rsidR="00B7025E">
        <w:t xml:space="preserve"> Opportunities shall be well-researched to </w:t>
      </w:r>
      <w:r w:rsidR="00D82632">
        <w:t xml:space="preserve">show that it is reasonable that the </w:t>
      </w:r>
      <w:r w:rsidR="0031431C">
        <w:t xml:space="preserve">proposed </w:t>
      </w:r>
      <w:r w:rsidR="00D82632">
        <w:t xml:space="preserve">action(s) will reduce an adverse impact </w:t>
      </w:r>
      <w:r w:rsidR="00DE26D0">
        <w:t xml:space="preserve">with relatively </w:t>
      </w:r>
      <w:proofErr w:type="gramStart"/>
      <w:r w:rsidR="00DE26D0">
        <w:t>low-risk</w:t>
      </w:r>
      <w:proofErr w:type="gramEnd"/>
      <w:r w:rsidR="00DE26D0">
        <w:t xml:space="preserve"> to the </w:t>
      </w:r>
      <w:r w:rsidR="00DE26D0" w:rsidRPr="008117BB">
        <w:rPr>
          <w:color w:val="7030A0"/>
        </w:rPr>
        <w:t>[Organization]</w:t>
      </w:r>
      <w:r w:rsidR="00DE26D0">
        <w:t xml:space="preserve"> </w:t>
      </w:r>
      <w:r w:rsidR="00D82632">
        <w:t xml:space="preserve">when well-implemented.  It is understood that the action[s] </w:t>
      </w:r>
      <w:r w:rsidR="00041649">
        <w:t>is</w:t>
      </w:r>
      <w:r w:rsidR="00D82632">
        <w:t xml:space="preserve"> worth pursuing so long as </w:t>
      </w:r>
      <w:r w:rsidR="00041649">
        <w:t>it</w:t>
      </w:r>
      <w:r w:rsidR="00D82632">
        <w:t xml:space="preserve"> align</w:t>
      </w:r>
      <w:r w:rsidR="00041649">
        <w:t>s</w:t>
      </w:r>
      <w:r w:rsidR="00D82632">
        <w:t xml:space="preserve"> with the </w:t>
      </w:r>
      <w:r w:rsidR="00D82632" w:rsidRPr="008117BB">
        <w:rPr>
          <w:color w:val="7030A0"/>
        </w:rPr>
        <w:t>[Organization]</w:t>
      </w:r>
      <w:r w:rsidR="00D82632">
        <w:t>’s sustainability values, even if the proposed action hasn’t been tried or replicated by a</w:t>
      </w:r>
      <w:r w:rsidR="00DE26D0">
        <w:t>nother</w:t>
      </w:r>
      <w:r w:rsidR="00D82632">
        <w:t xml:space="preserve"> public agency </w:t>
      </w:r>
      <w:r w:rsidR="00DE26D0">
        <w:t xml:space="preserve">at the time </w:t>
      </w:r>
      <w:r w:rsidR="00041649">
        <w:t>it is</w:t>
      </w:r>
      <w:r w:rsidR="00DE26D0">
        <w:t xml:space="preserve"> proposed.</w:t>
      </w:r>
      <w:r w:rsidR="00D82632">
        <w:t xml:space="preserve"> </w:t>
      </w:r>
    </w:p>
    <w:p w14:paraId="3CEB01F1" w14:textId="1EB65D62" w:rsidR="00B529CC" w:rsidRDefault="00B529CC" w:rsidP="00331953"/>
    <w:p w14:paraId="6BD40480" w14:textId="1A609EEB" w:rsidR="000F51A9" w:rsidRDefault="00050A48" w:rsidP="00331953">
      <w:r>
        <w:t>7</w:t>
      </w:r>
      <w:r w:rsidR="000F51A9">
        <w:t>.0</w:t>
      </w:r>
      <w:r w:rsidR="000F51A9">
        <w:tab/>
        <w:t>REPORTING</w:t>
      </w:r>
    </w:p>
    <w:p w14:paraId="07BD4E9A" w14:textId="77777777" w:rsidR="007564F0" w:rsidRDefault="007564F0" w:rsidP="00331953"/>
    <w:p w14:paraId="50BCA0A8" w14:textId="0692426F" w:rsidR="000F51A9" w:rsidRDefault="00BC1CEC" w:rsidP="008A7E45">
      <w:pPr>
        <w:pStyle w:val="ListParagraph"/>
        <w:numPr>
          <w:ilvl w:val="0"/>
          <w:numId w:val="12"/>
        </w:numPr>
      </w:pPr>
      <w:r>
        <w:t>To track progress in meeting th</w:t>
      </w:r>
      <w:r w:rsidR="006616A0">
        <w:t>is</w:t>
      </w:r>
      <w:r>
        <w:t xml:space="preserve"> policy’s objectives, at a minimum the </w:t>
      </w:r>
      <w:r w:rsidRPr="004A384B">
        <w:rPr>
          <w:color w:val="7030A0"/>
        </w:rPr>
        <w:t>[</w:t>
      </w:r>
      <w:r w:rsidR="004A384B">
        <w:rPr>
          <w:color w:val="7030A0"/>
        </w:rPr>
        <w:t>responsible</w:t>
      </w:r>
      <w:r w:rsidRPr="004A384B">
        <w:rPr>
          <w:color w:val="7030A0"/>
        </w:rPr>
        <w:t xml:space="preserve"> entity]</w:t>
      </w:r>
      <w:r w:rsidRPr="008A7E45">
        <w:rPr>
          <w:color w:val="FF0000"/>
        </w:rPr>
        <w:t xml:space="preserve"> </w:t>
      </w:r>
      <w:r>
        <w:t xml:space="preserve">shall report </w:t>
      </w:r>
      <w:r w:rsidRPr="004A384B">
        <w:rPr>
          <w:color w:val="7030A0"/>
        </w:rPr>
        <w:t>[to who]</w:t>
      </w:r>
      <w:r w:rsidRPr="008A7E45">
        <w:rPr>
          <w:color w:val="FF0000"/>
        </w:rPr>
        <w:t xml:space="preserve"> </w:t>
      </w:r>
      <w:r>
        <w:t xml:space="preserve">on the following on a </w:t>
      </w:r>
      <w:r w:rsidRPr="004A384B">
        <w:rPr>
          <w:color w:val="7030A0"/>
        </w:rPr>
        <w:t>[timeframe]</w:t>
      </w:r>
      <w:r w:rsidRPr="008A7E45">
        <w:rPr>
          <w:color w:val="FF0000"/>
        </w:rPr>
        <w:t xml:space="preserve"> </w:t>
      </w:r>
      <w:r>
        <w:t>basis:</w:t>
      </w:r>
    </w:p>
    <w:p w14:paraId="63711844" w14:textId="7BA593B2" w:rsidR="00BC1CEC" w:rsidRDefault="00906854" w:rsidP="008A7E45">
      <w:pPr>
        <w:pStyle w:val="ListParagraph"/>
        <w:numPr>
          <w:ilvl w:val="0"/>
          <w:numId w:val="13"/>
        </w:numPr>
      </w:pPr>
      <w:r>
        <w:t xml:space="preserve">Number of Minimum </w:t>
      </w:r>
      <w:r w:rsidR="00AB7014">
        <w:t>Requirement</w:t>
      </w:r>
      <w:r>
        <w:t xml:space="preserve">s established and in use by </w:t>
      </w:r>
      <w:r w:rsidR="00A27232" w:rsidRPr="004A384B">
        <w:rPr>
          <w:color w:val="7030A0"/>
        </w:rPr>
        <w:t>[Organization]</w:t>
      </w:r>
      <w:r w:rsidR="00A27232">
        <w:t xml:space="preserve"> as evidenced by actual solicitations, contracts, and/or procurements</w:t>
      </w:r>
      <w:r w:rsidR="006616A0">
        <w:t>.</w:t>
      </w:r>
    </w:p>
    <w:p w14:paraId="59D0E462" w14:textId="163902AF" w:rsidR="00A27232" w:rsidRDefault="00A27232" w:rsidP="008A7E45">
      <w:pPr>
        <w:pStyle w:val="ListParagraph"/>
        <w:numPr>
          <w:ilvl w:val="0"/>
          <w:numId w:val="13"/>
        </w:numPr>
      </w:pPr>
      <w:r>
        <w:t xml:space="preserve">Number of </w:t>
      </w:r>
      <w:r w:rsidR="00AB7014">
        <w:t>Leadership</w:t>
      </w:r>
      <w:r>
        <w:t xml:space="preserve"> Opportunities established and practiced by </w:t>
      </w:r>
      <w:r w:rsidRPr="004A384B">
        <w:rPr>
          <w:color w:val="7030A0"/>
        </w:rPr>
        <w:t>[Organization]</w:t>
      </w:r>
      <w:r>
        <w:t xml:space="preserve"> as evidenced by actual solicitations, contracts, and/or procurements</w:t>
      </w:r>
      <w:r w:rsidR="006616A0">
        <w:t>.</w:t>
      </w:r>
    </w:p>
    <w:p w14:paraId="394DA2A4" w14:textId="3C81FDAF" w:rsidR="00A27232" w:rsidRDefault="00A27232" w:rsidP="008A7E45">
      <w:pPr>
        <w:pStyle w:val="ListParagraph"/>
        <w:numPr>
          <w:ilvl w:val="0"/>
          <w:numId w:val="13"/>
        </w:numPr>
      </w:pPr>
      <w:r>
        <w:t xml:space="preserve">Number of sustainable procurement trainings provided to employees and number of unique attendees in total.  If trainings are provided in an online, “on-demand” format, report on the number of unique completions of the </w:t>
      </w:r>
      <w:r w:rsidR="00427F07">
        <w:t>training(s).</w:t>
      </w:r>
    </w:p>
    <w:p w14:paraId="61EDEBD6" w14:textId="7945896D" w:rsidR="00427F07" w:rsidRDefault="00427F07" w:rsidP="00427F07"/>
    <w:p w14:paraId="7BB60451" w14:textId="5863E76A" w:rsidR="00427F07" w:rsidRDefault="00427F07" w:rsidP="008A7E45">
      <w:pPr>
        <w:pStyle w:val="ListParagraph"/>
        <w:numPr>
          <w:ilvl w:val="0"/>
          <w:numId w:val="12"/>
        </w:numPr>
      </w:pPr>
      <w:r>
        <w:t xml:space="preserve">By year </w:t>
      </w:r>
      <w:r w:rsidRPr="006616A0">
        <w:rPr>
          <w:color w:val="7030A0"/>
        </w:rPr>
        <w:t xml:space="preserve">[enter number] </w:t>
      </w:r>
      <w:r>
        <w:t xml:space="preserve">after the initial </w:t>
      </w:r>
      <w:r w:rsidR="00276D1C">
        <w:t xml:space="preserve">effective </w:t>
      </w:r>
      <w:r>
        <w:t xml:space="preserve">date of this policy, the </w:t>
      </w:r>
      <w:r w:rsidRPr="004A384B">
        <w:rPr>
          <w:color w:val="7030A0"/>
        </w:rPr>
        <w:t>[</w:t>
      </w:r>
      <w:r w:rsidR="004A384B">
        <w:rPr>
          <w:color w:val="7030A0"/>
        </w:rPr>
        <w:t>responsible</w:t>
      </w:r>
      <w:r w:rsidRPr="004A384B">
        <w:rPr>
          <w:color w:val="7030A0"/>
        </w:rPr>
        <w:t xml:space="preserve"> entity]</w:t>
      </w:r>
      <w:r w:rsidRPr="008A7E45">
        <w:rPr>
          <w:color w:val="FF0000"/>
        </w:rPr>
        <w:t xml:space="preserve"> </w:t>
      </w:r>
      <w:r>
        <w:t xml:space="preserve">shall report </w:t>
      </w:r>
      <w:r w:rsidRPr="004A384B">
        <w:rPr>
          <w:color w:val="7030A0"/>
        </w:rPr>
        <w:t>[to who]</w:t>
      </w:r>
      <w:r w:rsidRPr="008A7E45">
        <w:rPr>
          <w:color w:val="FF0000"/>
        </w:rPr>
        <w:t xml:space="preserve"> </w:t>
      </w:r>
      <w:r>
        <w:t>on the following in addition to the above minimum reporting requirements:</w:t>
      </w:r>
    </w:p>
    <w:p w14:paraId="637C2A82" w14:textId="4A2DBABC" w:rsidR="00427F07" w:rsidRDefault="00427F07" w:rsidP="008A7E45">
      <w:pPr>
        <w:pStyle w:val="ListParagraph"/>
        <w:numPr>
          <w:ilvl w:val="0"/>
          <w:numId w:val="14"/>
        </w:numPr>
        <w:ind w:left="1440"/>
      </w:pPr>
      <w:r>
        <w:t xml:space="preserve">For </w:t>
      </w:r>
      <w:r w:rsidR="00D842AD">
        <w:t>a minimum of</w:t>
      </w:r>
      <w:r>
        <w:t xml:space="preserve"> </w:t>
      </w:r>
      <w:r w:rsidR="000D3D74">
        <w:t>three (</w:t>
      </w:r>
      <w:r>
        <w:t>3</w:t>
      </w:r>
      <w:r w:rsidR="000D3D74">
        <w:t>)</w:t>
      </w:r>
      <w:r>
        <w:t xml:space="preserve"> </w:t>
      </w:r>
      <w:r w:rsidR="00D300EC">
        <w:t>goods</w:t>
      </w:r>
      <w:r>
        <w:t xml:space="preserve"> and/or services, report on the percent of purchases (</w:t>
      </w:r>
      <w:r w:rsidR="00D842AD">
        <w:t>by</w:t>
      </w:r>
      <w:r>
        <w:t xml:space="preserve"> dollar value) during the fiscal year that met the Minimum </w:t>
      </w:r>
      <w:r w:rsidR="00AB7014">
        <w:t>Requirement</w:t>
      </w:r>
      <w:r w:rsidR="00D842AD">
        <w:t>s</w:t>
      </w:r>
      <w:r>
        <w:t xml:space="preserve"> for that </w:t>
      </w:r>
      <w:r w:rsidR="00D300EC">
        <w:t>good</w:t>
      </w:r>
      <w:r>
        <w:t xml:space="preserve"> or service</w:t>
      </w:r>
      <w:r w:rsidR="00D842AD">
        <w:t>.</w:t>
      </w:r>
    </w:p>
    <w:p w14:paraId="21B507F0" w14:textId="2D403331" w:rsidR="00D842AD" w:rsidRDefault="00D842AD" w:rsidP="00D842AD"/>
    <w:p w14:paraId="6A5782AE" w14:textId="5C653A48" w:rsidR="00D842AD" w:rsidRDefault="00D842AD" w:rsidP="008A7E45">
      <w:pPr>
        <w:pStyle w:val="ListParagraph"/>
        <w:numPr>
          <w:ilvl w:val="0"/>
          <w:numId w:val="12"/>
        </w:numPr>
      </w:pPr>
      <w:r>
        <w:t xml:space="preserve">By year </w:t>
      </w:r>
      <w:r w:rsidRPr="008A5C13">
        <w:rPr>
          <w:color w:val="7030A0"/>
        </w:rPr>
        <w:t>[enter number]</w:t>
      </w:r>
      <w:r>
        <w:t xml:space="preserve"> after the initial</w:t>
      </w:r>
      <w:r w:rsidR="00276D1C">
        <w:t xml:space="preserve"> effective</w:t>
      </w:r>
      <w:r>
        <w:t xml:space="preserve"> date of this policy, the </w:t>
      </w:r>
      <w:r w:rsidR="00FD69FC" w:rsidRPr="004A384B">
        <w:rPr>
          <w:color w:val="7030A0"/>
        </w:rPr>
        <w:t>[</w:t>
      </w:r>
      <w:r w:rsidR="00FD69FC">
        <w:rPr>
          <w:color w:val="7030A0"/>
        </w:rPr>
        <w:t>responsible</w:t>
      </w:r>
      <w:r w:rsidR="00FD69FC" w:rsidRPr="004A384B">
        <w:rPr>
          <w:color w:val="7030A0"/>
        </w:rPr>
        <w:t xml:space="preserve"> entity]</w:t>
      </w:r>
      <w:r w:rsidR="00FD69FC">
        <w:rPr>
          <w:color w:val="7030A0"/>
        </w:rPr>
        <w:t xml:space="preserve"> </w:t>
      </w:r>
      <w:r>
        <w:t xml:space="preserve">shall publish at </w:t>
      </w:r>
      <w:r w:rsidR="000D3D74">
        <w:t xml:space="preserve">a minimum </w:t>
      </w:r>
      <w:r>
        <w:t xml:space="preserve">two </w:t>
      </w:r>
      <w:r w:rsidR="000D3D74">
        <w:t xml:space="preserve">(2) </w:t>
      </w:r>
      <w:r>
        <w:t xml:space="preserve">case studies highlighting </w:t>
      </w:r>
      <w:r w:rsidR="000D3D74">
        <w:t xml:space="preserve">a sustainable </w:t>
      </w:r>
      <w:r w:rsidR="000D3D74">
        <w:lastRenderedPageBreak/>
        <w:t xml:space="preserve">procurement initiative, project, solicitation/contract undertaken by </w:t>
      </w:r>
      <w:r w:rsidR="000D3D74" w:rsidRPr="00FD69FC">
        <w:rPr>
          <w:color w:val="7030A0"/>
        </w:rPr>
        <w:t>[Organization</w:t>
      </w:r>
      <w:proofErr w:type="gramStart"/>
      <w:r w:rsidR="000D3D74" w:rsidRPr="00FD69FC">
        <w:rPr>
          <w:color w:val="7030A0"/>
        </w:rPr>
        <w:t>]</w:t>
      </w:r>
      <w:r w:rsidR="000D3D74" w:rsidRPr="00182D4B">
        <w:rPr>
          <w:color w:val="000000" w:themeColor="text1"/>
        </w:rPr>
        <w:t>;</w:t>
      </w:r>
      <w:proofErr w:type="gramEnd"/>
      <w:r w:rsidR="000D3D74" w:rsidRPr="00182D4B">
        <w:rPr>
          <w:color w:val="000000" w:themeColor="text1"/>
        </w:rPr>
        <w:t xml:space="preserve"> </w:t>
      </w:r>
      <w:r w:rsidR="000D3D74">
        <w:t xml:space="preserve">including </w:t>
      </w:r>
      <w:r w:rsidR="00070F22">
        <w:t xml:space="preserve">benefits, </w:t>
      </w:r>
      <w:r w:rsidR="000D3D74">
        <w:t>lessons-learned and opportunities for continuous improvement.</w:t>
      </w:r>
    </w:p>
    <w:p w14:paraId="295B43AE" w14:textId="77777777" w:rsidR="00D842AD" w:rsidRDefault="00D842AD" w:rsidP="00D842AD"/>
    <w:p w14:paraId="0FBC0AAF" w14:textId="040B1502" w:rsidR="00D842AD" w:rsidRDefault="00D842AD" w:rsidP="008A7E45">
      <w:pPr>
        <w:pStyle w:val="ListParagraph"/>
        <w:numPr>
          <w:ilvl w:val="0"/>
          <w:numId w:val="12"/>
        </w:numPr>
      </w:pPr>
      <w:r>
        <w:t xml:space="preserve">By year </w:t>
      </w:r>
      <w:r w:rsidRPr="008A5C13">
        <w:rPr>
          <w:color w:val="7030A0"/>
        </w:rPr>
        <w:t>[enter number]</w:t>
      </w:r>
      <w:r>
        <w:t xml:space="preserve"> after the initial </w:t>
      </w:r>
      <w:r w:rsidR="00276D1C">
        <w:t>effective</w:t>
      </w:r>
      <w:r>
        <w:t xml:space="preserve"> date of this policy, the </w:t>
      </w:r>
      <w:r w:rsidR="00FD69FC" w:rsidRPr="004A384B">
        <w:rPr>
          <w:color w:val="7030A0"/>
        </w:rPr>
        <w:t>[</w:t>
      </w:r>
      <w:r w:rsidR="00FD69FC">
        <w:rPr>
          <w:color w:val="7030A0"/>
        </w:rPr>
        <w:t>responsible</w:t>
      </w:r>
      <w:r w:rsidR="00FD69FC" w:rsidRPr="004A384B">
        <w:rPr>
          <w:color w:val="7030A0"/>
        </w:rPr>
        <w:t xml:space="preserve"> entity]</w:t>
      </w:r>
      <w:r w:rsidRPr="008A7E45">
        <w:rPr>
          <w:color w:val="FF0000"/>
        </w:rPr>
        <w:t xml:space="preserve"> </w:t>
      </w:r>
      <w:r>
        <w:t xml:space="preserve">shall develop </w:t>
      </w:r>
      <w:r w:rsidR="000D3D74">
        <w:t>three (</w:t>
      </w:r>
      <w:r>
        <w:t>3</w:t>
      </w:r>
      <w:r w:rsidR="000D3D74">
        <w:t>)</w:t>
      </w:r>
      <w:r>
        <w:t xml:space="preserve"> additional Key Performance Indicators that are meaningful in terms of evaluating the </w:t>
      </w:r>
      <w:r w:rsidRPr="00FD69FC">
        <w:rPr>
          <w:color w:val="7030A0"/>
        </w:rPr>
        <w:t>[Organization]</w:t>
      </w:r>
      <w:r>
        <w:t>’s progress in meeting the policy’s objectives.</w:t>
      </w:r>
    </w:p>
    <w:p w14:paraId="643DDD01" w14:textId="77777777" w:rsidR="000F51A9" w:rsidRDefault="000F51A9" w:rsidP="00331953"/>
    <w:p w14:paraId="5529427B" w14:textId="2CF5028F" w:rsidR="00B529CC" w:rsidRDefault="00050A48" w:rsidP="00331953">
      <w:r>
        <w:t>8</w:t>
      </w:r>
      <w:r w:rsidR="00D740A7">
        <w:t>.0</w:t>
      </w:r>
      <w:r w:rsidR="00D740A7">
        <w:tab/>
        <w:t>ROLES AND RESPONSIBILITIES</w:t>
      </w:r>
    </w:p>
    <w:p w14:paraId="5F285703" w14:textId="299EF14C" w:rsidR="00D740A7" w:rsidRDefault="00D740A7" w:rsidP="00331953"/>
    <w:p w14:paraId="519BB6F7" w14:textId="05EF91D1" w:rsidR="00D740A7" w:rsidRDefault="00D740A7" w:rsidP="00D740A7">
      <w:pPr>
        <w:pStyle w:val="ListParagraph"/>
        <w:numPr>
          <w:ilvl w:val="0"/>
          <w:numId w:val="7"/>
        </w:numPr>
      </w:pPr>
      <w:r>
        <w:t xml:space="preserve">The </w:t>
      </w:r>
      <w:r w:rsidR="00FD69FC" w:rsidRPr="004A384B">
        <w:rPr>
          <w:color w:val="7030A0"/>
        </w:rPr>
        <w:t>[</w:t>
      </w:r>
      <w:r w:rsidR="00FD69FC">
        <w:rPr>
          <w:color w:val="7030A0"/>
        </w:rPr>
        <w:t>responsible</w:t>
      </w:r>
      <w:r w:rsidR="00FD69FC" w:rsidRPr="004A384B">
        <w:rPr>
          <w:color w:val="7030A0"/>
        </w:rPr>
        <w:t xml:space="preserve"> entity]</w:t>
      </w:r>
      <w:r w:rsidR="00FD69FC">
        <w:rPr>
          <w:color w:val="7030A0"/>
        </w:rPr>
        <w:t xml:space="preserve"> </w:t>
      </w:r>
      <w:r>
        <w:t>shall periodically</w:t>
      </w:r>
      <w:r w:rsidRPr="008E3DBD">
        <w:t xml:space="preserve"> </w:t>
      </w:r>
      <w:r>
        <w:t>bring</w:t>
      </w:r>
      <w:r w:rsidRPr="008E3DBD">
        <w:t xml:space="preserve"> together sta</w:t>
      </w:r>
      <w:r>
        <w:t>keholders to review and update this policy.</w:t>
      </w:r>
    </w:p>
    <w:p w14:paraId="32D2711D" w14:textId="4B126DEC" w:rsidR="00C1497E" w:rsidRDefault="00D740A7" w:rsidP="00C1497E">
      <w:pPr>
        <w:pStyle w:val="ListParagraph"/>
        <w:numPr>
          <w:ilvl w:val="0"/>
          <w:numId w:val="7"/>
        </w:numPr>
      </w:pPr>
      <w:r>
        <w:t xml:space="preserve">The </w:t>
      </w:r>
      <w:r w:rsidR="00FD69FC" w:rsidRPr="004A384B">
        <w:rPr>
          <w:color w:val="7030A0"/>
        </w:rPr>
        <w:t>[</w:t>
      </w:r>
      <w:r w:rsidR="00FD69FC">
        <w:rPr>
          <w:color w:val="7030A0"/>
        </w:rPr>
        <w:t>responsible</w:t>
      </w:r>
      <w:r w:rsidR="00FD69FC" w:rsidRPr="004A384B">
        <w:rPr>
          <w:color w:val="7030A0"/>
        </w:rPr>
        <w:t xml:space="preserve"> entity]</w:t>
      </w:r>
      <w:r w:rsidR="00FD69FC">
        <w:rPr>
          <w:color w:val="7030A0"/>
        </w:rPr>
        <w:t xml:space="preserve"> </w:t>
      </w:r>
      <w:r>
        <w:t xml:space="preserve">is responsible for developing and maintaining up-to-date Minimum </w:t>
      </w:r>
      <w:r w:rsidR="00AB7014">
        <w:t>Requirement</w:t>
      </w:r>
      <w:r>
        <w:t xml:space="preserve">s </w:t>
      </w:r>
      <w:r w:rsidRPr="00DE26D0">
        <w:t xml:space="preserve">&amp; </w:t>
      </w:r>
      <w:r w:rsidR="00AB7014">
        <w:t>Leadership</w:t>
      </w:r>
      <w:r w:rsidRPr="00DE26D0">
        <w:t xml:space="preserve"> Opportunities</w:t>
      </w:r>
      <w:r w:rsidR="005D2CE3" w:rsidRPr="00DE26D0">
        <w:t>;</w:t>
      </w:r>
      <w:r w:rsidR="005D2CE3">
        <w:t xml:space="preserve"> including bringing together stakeholders to develop and/or implement the </w:t>
      </w:r>
      <w:r w:rsidR="00AA23BC">
        <w:t xml:space="preserve">Minimum </w:t>
      </w:r>
      <w:r w:rsidR="00AB7014">
        <w:t>Requirements</w:t>
      </w:r>
      <w:r w:rsidR="00AA23BC">
        <w:t xml:space="preserve"> &amp; </w:t>
      </w:r>
      <w:r w:rsidR="00AB7014">
        <w:t xml:space="preserve">Leadership </w:t>
      </w:r>
      <w:r w:rsidR="00AA23BC" w:rsidRPr="00DE26D0">
        <w:t>Opportunities</w:t>
      </w:r>
      <w:r w:rsidR="00AA23BC">
        <w:t xml:space="preserve"> as applicable.</w:t>
      </w:r>
    </w:p>
    <w:p w14:paraId="1311AD3A" w14:textId="3E40D132" w:rsidR="00C1497E" w:rsidRDefault="00CD6A25" w:rsidP="00C1497E">
      <w:pPr>
        <w:pStyle w:val="ListParagraph"/>
        <w:numPr>
          <w:ilvl w:val="0"/>
          <w:numId w:val="7"/>
        </w:numPr>
      </w:pPr>
      <w:r>
        <w:t xml:space="preserve">All employees are responsible for </w:t>
      </w:r>
      <w:r w:rsidR="00C1497E" w:rsidRPr="00CD6A25">
        <w:t>follow</w:t>
      </w:r>
      <w:r w:rsidR="00C1497E">
        <w:t>ing</w:t>
      </w:r>
      <w:r w:rsidR="00C1497E" w:rsidRPr="00CD6A25">
        <w:t xml:space="preserve"> the Core Strategies and Minimum </w:t>
      </w:r>
      <w:r w:rsidR="00AB7014">
        <w:t>Requirements</w:t>
      </w:r>
      <w:r w:rsidR="00C1497E" w:rsidRPr="00CD6A25">
        <w:t xml:space="preserve"> when</w:t>
      </w:r>
      <w:r w:rsidR="00C1497E" w:rsidRPr="00A94165">
        <w:t xml:space="preserve"> planning and designing projects, developing project and operations budgets, developing asset management plans, writing product and service specifications or standards, selecting materials, making purchasing or supplier decisions, and developing and managing </w:t>
      </w:r>
      <w:r w:rsidR="00C1497E" w:rsidRPr="006943E4">
        <w:rPr>
          <w:color w:val="7030A0"/>
        </w:rPr>
        <w:t>[Organization]</w:t>
      </w:r>
      <w:r w:rsidR="00C1497E" w:rsidRPr="00A94165">
        <w:t xml:space="preserve"> contracts and price agreements as applicable to their roles and responsibilities and/or to a specific project.</w:t>
      </w:r>
    </w:p>
    <w:p w14:paraId="44AAB11F" w14:textId="7B359376" w:rsidR="00D740A7" w:rsidRDefault="00194226" w:rsidP="00D740A7">
      <w:pPr>
        <w:pStyle w:val="ListParagraph"/>
        <w:numPr>
          <w:ilvl w:val="0"/>
          <w:numId w:val="7"/>
        </w:numPr>
      </w:pPr>
      <w:r>
        <w:t xml:space="preserve">The </w:t>
      </w:r>
      <w:r w:rsidR="00FD69FC" w:rsidRPr="004A384B">
        <w:rPr>
          <w:color w:val="7030A0"/>
        </w:rPr>
        <w:t>[</w:t>
      </w:r>
      <w:r w:rsidR="00FD69FC">
        <w:rPr>
          <w:color w:val="7030A0"/>
        </w:rPr>
        <w:t>responsible</w:t>
      </w:r>
      <w:r w:rsidR="00FD69FC" w:rsidRPr="004A384B">
        <w:rPr>
          <w:color w:val="7030A0"/>
        </w:rPr>
        <w:t xml:space="preserve"> entity]</w:t>
      </w:r>
      <w:r w:rsidR="00FD69FC">
        <w:rPr>
          <w:color w:val="7030A0"/>
        </w:rPr>
        <w:t xml:space="preserve"> </w:t>
      </w:r>
      <w:r>
        <w:t xml:space="preserve">is responsible for developing and providing sustainable procurement training </w:t>
      </w:r>
      <w:r w:rsidR="00C71B66">
        <w:t xml:space="preserve">to </w:t>
      </w:r>
      <w:r w:rsidR="00C71B66" w:rsidRPr="006943E4">
        <w:rPr>
          <w:color w:val="7030A0"/>
        </w:rPr>
        <w:t>[Organization]</w:t>
      </w:r>
      <w:r w:rsidR="00C71B66">
        <w:t xml:space="preserve"> employees and other applicable stakeholders.</w:t>
      </w:r>
    </w:p>
    <w:p w14:paraId="0D536A93" w14:textId="7BCC1697" w:rsidR="0055326D" w:rsidRDefault="0055326D" w:rsidP="0055326D">
      <w:pPr>
        <w:pStyle w:val="ListParagraph"/>
        <w:numPr>
          <w:ilvl w:val="0"/>
          <w:numId w:val="7"/>
        </w:numPr>
      </w:pPr>
      <w:r>
        <w:t xml:space="preserve">The </w:t>
      </w:r>
      <w:r w:rsidR="00FD69FC" w:rsidRPr="004A384B">
        <w:rPr>
          <w:color w:val="7030A0"/>
        </w:rPr>
        <w:t>[</w:t>
      </w:r>
      <w:r w:rsidR="00FD69FC">
        <w:rPr>
          <w:color w:val="7030A0"/>
        </w:rPr>
        <w:t>responsible</w:t>
      </w:r>
      <w:r w:rsidR="00FD69FC" w:rsidRPr="004A384B">
        <w:rPr>
          <w:color w:val="7030A0"/>
        </w:rPr>
        <w:t xml:space="preserve"> entity]</w:t>
      </w:r>
      <w:r>
        <w:t xml:space="preserve"> is responsible for </w:t>
      </w:r>
      <w:proofErr w:type="gramStart"/>
      <w:r w:rsidR="00D0101C">
        <w:t>taking into account</w:t>
      </w:r>
      <w:proofErr w:type="gramEnd"/>
      <w:r w:rsidR="00D0101C">
        <w:t xml:space="preserve"> these policy requirements when developing departmental and project budgets in order to ensure resources </w:t>
      </w:r>
      <w:r w:rsidR="00184475">
        <w:t xml:space="preserve">(budget and staff) </w:t>
      </w:r>
      <w:r w:rsidR="00D0101C">
        <w:t xml:space="preserve">are available </w:t>
      </w:r>
      <w:r w:rsidR="00184475">
        <w:t>to carry out these policy requirements</w:t>
      </w:r>
      <w:r>
        <w:t>.</w:t>
      </w:r>
    </w:p>
    <w:p w14:paraId="2FB9FE09" w14:textId="646808BE" w:rsidR="0055326D" w:rsidRDefault="00933AAB" w:rsidP="00D740A7">
      <w:pPr>
        <w:pStyle w:val="ListParagraph"/>
        <w:numPr>
          <w:ilvl w:val="0"/>
          <w:numId w:val="7"/>
        </w:numPr>
      </w:pPr>
      <w:r>
        <w:t xml:space="preserve">The </w:t>
      </w:r>
      <w:r w:rsidR="00FD69FC" w:rsidRPr="004A384B">
        <w:rPr>
          <w:color w:val="7030A0"/>
        </w:rPr>
        <w:t>[</w:t>
      </w:r>
      <w:r w:rsidR="00FD69FC">
        <w:rPr>
          <w:color w:val="7030A0"/>
        </w:rPr>
        <w:t>responsible</w:t>
      </w:r>
      <w:r w:rsidR="00FD69FC" w:rsidRPr="004A384B">
        <w:rPr>
          <w:color w:val="7030A0"/>
        </w:rPr>
        <w:t xml:space="preserve"> entity]</w:t>
      </w:r>
      <w:r>
        <w:t xml:space="preserve"> is responsible for developing and publishing reports according to the requirements in </w:t>
      </w:r>
      <w:r w:rsidRPr="003432F8">
        <w:t xml:space="preserve">section </w:t>
      </w:r>
      <w:r w:rsidR="00050A48" w:rsidRPr="003432F8">
        <w:rPr>
          <w:color w:val="000000" w:themeColor="text1"/>
        </w:rPr>
        <w:t>7</w:t>
      </w:r>
      <w:r w:rsidRPr="003432F8">
        <w:rPr>
          <w:color w:val="000000" w:themeColor="text1"/>
        </w:rPr>
        <w:t>.0</w:t>
      </w:r>
      <w:r w:rsidR="003432F8">
        <w:rPr>
          <w:color w:val="000000" w:themeColor="text1"/>
        </w:rPr>
        <w:t xml:space="preserve"> of this policy.</w:t>
      </w:r>
    </w:p>
    <w:p w14:paraId="2EC152D7" w14:textId="4993CDDC" w:rsidR="00BD3CFF" w:rsidRDefault="00BD3CFF" w:rsidP="00BD3CFF"/>
    <w:p w14:paraId="464D3CE6" w14:textId="28B6F2C4" w:rsidR="00BD3CFF" w:rsidRDefault="002561D6" w:rsidP="00BD3CFF">
      <w:r>
        <w:t>9</w:t>
      </w:r>
      <w:r w:rsidR="00BD3CFF">
        <w:t>.0</w:t>
      </w:r>
      <w:r w:rsidR="00BD3CFF">
        <w:tab/>
        <w:t>DEFINITIONS</w:t>
      </w:r>
    </w:p>
    <w:p w14:paraId="40087291" w14:textId="1F1FF2D4" w:rsidR="00BD3CFF" w:rsidRDefault="00BD3CFF" w:rsidP="00BD3CFF"/>
    <w:p w14:paraId="4C5BD42D" w14:textId="74A800E2" w:rsidR="00BD3CFF" w:rsidRDefault="009C34C2" w:rsidP="00BD3CFF">
      <w:r w:rsidRPr="009C34C2">
        <w:rPr>
          <w:u w:val="single"/>
        </w:rPr>
        <w:t>C</w:t>
      </w:r>
      <w:r w:rsidR="00BD3CFF" w:rsidRPr="009C34C2">
        <w:rPr>
          <w:u w:val="single"/>
        </w:rPr>
        <w:t>arbon-</w:t>
      </w:r>
      <w:r w:rsidRPr="009C34C2">
        <w:rPr>
          <w:u w:val="single"/>
        </w:rPr>
        <w:t>B</w:t>
      </w:r>
      <w:r w:rsidR="00BD3CFF" w:rsidRPr="009C34C2">
        <w:rPr>
          <w:u w:val="single"/>
        </w:rPr>
        <w:t xml:space="preserve">ased </w:t>
      </w:r>
      <w:r w:rsidRPr="009C34C2">
        <w:rPr>
          <w:u w:val="single"/>
        </w:rPr>
        <w:t>F</w:t>
      </w:r>
      <w:r w:rsidR="00BD3CFF" w:rsidRPr="009C34C2">
        <w:rPr>
          <w:u w:val="single"/>
        </w:rPr>
        <w:t>uels</w:t>
      </w:r>
      <w:r w:rsidR="00BD3CFF" w:rsidRPr="00BD3CFF">
        <w:t xml:space="preserve"> </w:t>
      </w:r>
      <w:r>
        <w:t>-</w:t>
      </w:r>
      <w:r w:rsidRPr="009C34C2">
        <w:t xml:space="preserve"> means coal, natural gas, renewable biomass, petroleum products, and any other product that contains carbon and emits carbon dioxide, methane, nitrous oxide, or other greenhouse gases when combusted, that are used for fuel, heating, cooling, or industrial processes, which processes shall include electricity generation.</w:t>
      </w:r>
    </w:p>
    <w:p w14:paraId="479808EE" w14:textId="77777777" w:rsidR="00931381" w:rsidRDefault="00931381" w:rsidP="00BD3CFF">
      <w:pPr>
        <w:rPr>
          <w:color w:val="000000" w:themeColor="text1"/>
          <w:u w:val="single"/>
        </w:rPr>
      </w:pPr>
    </w:p>
    <w:p w14:paraId="25CEB7AE" w14:textId="5227453D" w:rsidR="00371C18" w:rsidRPr="00931381" w:rsidRDefault="00931381" w:rsidP="00BD3CFF">
      <w:pPr>
        <w:rPr>
          <w:color w:val="000000" w:themeColor="text1"/>
        </w:rPr>
      </w:pPr>
      <w:r w:rsidRPr="00931381">
        <w:rPr>
          <w:color w:val="000000" w:themeColor="text1"/>
          <w:u w:val="single"/>
        </w:rPr>
        <w:t>C</w:t>
      </w:r>
      <w:r w:rsidR="00371C18" w:rsidRPr="00931381">
        <w:rPr>
          <w:color w:val="000000" w:themeColor="text1"/>
          <w:u w:val="single"/>
        </w:rPr>
        <w:t>ircular</w:t>
      </w:r>
      <w:r w:rsidRPr="00931381">
        <w:rPr>
          <w:color w:val="000000" w:themeColor="text1"/>
          <w:u w:val="single"/>
        </w:rPr>
        <w:t xml:space="preserve"> Economy</w:t>
      </w:r>
      <w:r w:rsidRPr="00931381">
        <w:rPr>
          <w:color w:val="000000" w:themeColor="text1"/>
        </w:rPr>
        <w:t xml:space="preserve"> - economy that is restorative and regenerative by design, and which aims to keep products, components and materials at their highest utility and value </w:t>
      </w:r>
      <w:proofErr w:type="gramStart"/>
      <w:r w:rsidRPr="00931381">
        <w:rPr>
          <w:color w:val="000000" w:themeColor="text1"/>
        </w:rPr>
        <w:t>at all times</w:t>
      </w:r>
      <w:proofErr w:type="gramEnd"/>
      <w:r w:rsidRPr="00931381">
        <w:rPr>
          <w:color w:val="000000" w:themeColor="text1"/>
        </w:rPr>
        <w:t>, distinguishing between technical and biological cycles</w:t>
      </w:r>
    </w:p>
    <w:p w14:paraId="092FBC94" w14:textId="77777777" w:rsidR="00931381" w:rsidRDefault="00931381" w:rsidP="00BD3CFF">
      <w:pPr>
        <w:rPr>
          <w:color w:val="7030A0"/>
        </w:rPr>
      </w:pPr>
    </w:p>
    <w:p w14:paraId="20755D09" w14:textId="51D93812" w:rsidR="00826215" w:rsidRPr="00931381" w:rsidRDefault="00931381" w:rsidP="00BD3CFF">
      <w:pPr>
        <w:rPr>
          <w:color w:val="000000" w:themeColor="text1"/>
        </w:rPr>
      </w:pPr>
      <w:r w:rsidRPr="00931381">
        <w:rPr>
          <w:color w:val="000000" w:themeColor="text1"/>
          <w:u w:val="single"/>
        </w:rPr>
        <w:t>Core Labor and Human Rights in the Workplace</w:t>
      </w:r>
      <w:r w:rsidRPr="00931381">
        <w:rPr>
          <w:color w:val="000000" w:themeColor="text1"/>
        </w:rPr>
        <w:t xml:space="preserve"> - International </w:t>
      </w:r>
      <w:proofErr w:type="spellStart"/>
      <w:r w:rsidRPr="00931381">
        <w:rPr>
          <w:color w:val="000000" w:themeColor="text1"/>
        </w:rPr>
        <w:t>Labour</w:t>
      </w:r>
      <w:proofErr w:type="spellEnd"/>
      <w:r w:rsidRPr="00931381">
        <w:rPr>
          <w:color w:val="000000" w:themeColor="text1"/>
        </w:rPr>
        <w:t xml:space="preserve"> Organization (ILO) Conventions that the ILO Governing Body has identified as “fundamental” Conventions, covering subjects that </w:t>
      </w:r>
      <w:proofErr w:type="gramStart"/>
      <w:r w:rsidRPr="00931381">
        <w:rPr>
          <w:color w:val="000000" w:themeColor="text1"/>
        </w:rPr>
        <w:t>are considered to be</w:t>
      </w:r>
      <w:proofErr w:type="gramEnd"/>
      <w:r w:rsidRPr="00931381">
        <w:rPr>
          <w:color w:val="000000" w:themeColor="text1"/>
        </w:rPr>
        <w:t xml:space="preserve"> fundamental principles and rights at work.</w:t>
      </w:r>
    </w:p>
    <w:p w14:paraId="2AAFF4EB" w14:textId="77777777" w:rsidR="00931381" w:rsidRDefault="00931381" w:rsidP="00BD3CFF">
      <w:pPr>
        <w:rPr>
          <w:color w:val="7030A0"/>
        </w:rPr>
      </w:pPr>
    </w:p>
    <w:p w14:paraId="1A927AA8" w14:textId="5BA6BFE9" w:rsidR="00826215" w:rsidRPr="009D19CA" w:rsidRDefault="00931381" w:rsidP="00BD3CFF">
      <w:pPr>
        <w:rPr>
          <w:color w:val="000000" w:themeColor="text1"/>
        </w:rPr>
      </w:pPr>
      <w:r w:rsidRPr="009D19CA">
        <w:rPr>
          <w:color w:val="000000" w:themeColor="text1"/>
          <w:u w:val="single"/>
        </w:rPr>
        <w:t>Embodied Carbon</w:t>
      </w:r>
      <w:r w:rsidR="009D19CA" w:rsidRPr="009D19CA">
        <w:rPr>
          <w:color w:val="000000" w:themeColor="text1"/>
        </w:rPr>
        <w:t xml:space="preserve"> - the greenhouse gas emissions arising from the manufacturing, transportation, installation, maintenance, and disposal of materials or products.</w:t>
      </w:r>
    </w:p>
    <w:p w14:paraId="69781638" w14:textId="77777777" w:rsidR="00B52052" w:rsidRDefault="00B52052" w:rsidP="00BD3CFF">
      <w:pPr>
        <w:rPr>
          <w:color w:val="7030A0"/>
        </w:rPr>
      </w:pPr>
    </w:p>
    <w:p w14:paraId="29328C6C" w14:textId="445ACAC4" w:rsidR="00182D4B" w:rsidRDefault="00182D4B" w:rsidP="00325CDE">
      <w:pPr>
        <w:rPr>
          <w:color w:val="000000" w:themeColor="text1"/>
          <w:u w:val="single"/>
        </w:rPr>
      </w:pPr>
      <w:r>
        <w:rPr>
          <w:color w:val="000000" w:themeColor="text1"/>
          <w:u w:val="single"/>
        </w:rPr>
        <w:t xml:space="preserve">Key Performance Indicators </w:t>
      </w:r>
      <w:r>
        <w:rPr>
          <w:color w:val="000000" w:themeColor="text1"/>
        </w:rPr>
        <w:t xml:space="preserve">- </w:t>
      </w:r>
      <w:r w:rsidRPr="00182D4B">
        <w:rPr>
          <w:color w:val="000000" w:themeColor="text1"/>
        </w:rPr>
        <w:t xml:space="preserve">critical </w:t>
      </w:r>
      <w:r w:rsidR="00EF088D">
        <w:rPr>
          <w:color w:val="000000" w:themeColor="text1"/>
        </w:rPr>
        <w:t xml:space="preserve">quantifiable </w:t>
      </w:r>
      <w:r w:rsidRPr="00182D4B">
        <w:rPr>
          <w:color w:val="000000" w:themeColor="text1"/>
        </w:rPr>
        <w:t>measure</w:t>
      </w:r>
      <w:r>
        <w:rPr>
          <w:color w:val="000000" w:themeColor="text1"/>
        </w:rPr>
        <w:t>s</w:t>
      </w:r>
      <w:r w:rsidRPr="00182D4B">
        <w:rPr>
          <w:color w:val="000000" w:themeColor="text1"/>
        </w:rPr>
        <w:t xml:space="preserve"> of progress toward an intended result</w:t>
      </w:r>
      <w:r w:rsidR="00A56C81">
        <w:rPr>
          <w:color w:val="000000" w:themeColor="text1"/>
        </w:rPr>
        <w:t>.</w:t>
      </w:r>
    </w:p>
    <w:p w14:paraId="5FDCEB45" w14:textId="77777777" w:rsidR="00182D4B" w:rsidRDefault="00182D4B" w:rsidP="00325CDE">
      <w:pPr>
        <w:rPr>
          <w:color w:val="000000" w:themeColor="text1"/>
          <w:u w:val="single"/>
        </w:rPr>
      </w:pPr>
    </w:p>
    <w:p w14:paraId="7D72B755" w14:textId="0ECCBF8B" w:rsidR="00325CDE" w:rsidRPr="00325CDE" w:rsidRDefault="00325CDE" w:rsidP="00325CDE">
      <w:pPr>
        <w:rPr>
          <w:color w:val="000000" w:themeColor="text1"/>
        </w:rPr>
      </w:pPr>
      <w:r w:rsidRPr="00325CDE">
        <w:rPr>
          <w:color w:val="000000" w:themeColor="text1"/>
          <w:u w:val="single"/>
        </w:rPr>
        <w:t>Life Cycle</w:t>
      </w:r>
      <w:r w:rsidRPr="00325CDE">
        <w:rPr>
          <w:color w:val="000000" w:themeColor="text1"/>
        </w:rPr>
        <w:t xml:space="preserve"> - Consecutive and interlinked stages of a goods or services system, from “cradle to grave”, </w:t>
      </w:r>
      <w:proofErr w:type="gramStart"/>
      <w:r w:rsidRPr="00325CDE">
        <w:rPr>
          <w:color w:val="000000" w:themeColor="text1"/>
        </w:rPr>
        <w:t>e.g.</w:t>
      </w:r>
      <w:proofErr w:type="gramEnd"/>
      <w:r w:rsidRPr="00325CDE">
        <w:rPr>
          <w:color w:val="000000" w:themeColor="text1"/>
        </w:rPr>
        <w:t xml:space="preserve"> from resource generation and raw material acquisition through production, use, and final disposal.</w:t>
      </w:r>
    </w:p>
    <w:p w14:paraId="34F02068" w14:textId="77777777" w:rsidR="00325CDE" w:rsidRPr="00325CDE" w:rsidRDefault="00325CDE" w:rsidP="00325CDE">
      <w:pPr>
        <w:rPr>
          <w:color w:val="000000" w:themeColor="text1"/>
        </w:rPr>
      </w:pPr>
    </w:p>
    <w:p w14:paraId="25D8748F" w14:textId="4D9D2343" w:rsidR="00826215" w:rsidRPr="00274523" w:rsidRDefault="00325CDE" w:rsidP="00BD3CFF">
      <w:pPr>
        <w:rPr>
          <w:color w:val="000000" w:themeColor="text1"/>
        </w:rPr>
      </w:pPr>
      <w:r w:rsidRPr="00325CDE">
        <w:rPr>
          <w:color w:val="000000" w:themeColor="text1"/>
          <w:u w:val="single"/>
        </w:rPr>
        <w:t>Life Cycle Costing</w:t>
      </w:r>
      <w:r w:rsidRPr="00325CDE">
        <w:rPr>
          <w:color w:val="000000" w:themeColor="text1"/>
        </w:rPr>
        <w:t xml:space="preserve"> </w:t>
      </w:r>
      <w:r w:rsidR="00274523">
        <w:rPr>
          <w:color w:val="000000" w:themeColor="text1"/>
        </w:rPr>
        <w:t>– a method for calculating the costs of goods or services throughout their life cycle.  It includes total cost of ownership (TCO) and positive or negative externalities which can be monetized, both to the organization and to society.</w:t>
      </w:r>
    </w:p>
    <w:p w14:paraId="0668CC4F" w14:textId="77777777" w:rsidR="00325CDE" w:rsidRDefault="00325CDE" w:rsidP="00BD3CFF">
      <w:pPr>
        <w:rPr>
          <w:color w:val="7030A0"/>
        </w:rPr>
      </w:pPr>
    </w:p>
    <w:p w14:paraId="4B2407E1" w14:textId="2087DE19" w:rsidR="00294FD6" w:rsidRDefault="00294FD6" w:rsidP="00294FD6">
      <w:r w:rsidRPr="00817A75">
        <w:rPr>
          <w:u w:val="single"/>
        </w:rPr>
        <w:t>Substances of Very</w:t>
      </w:r>
      <w:r w:rsidR="000D7EAB">
        <w:rPr>
          <w:u w:val="single"/>
        </w:rPr>
        <w:t xml:space="preserve"> </w:t>
      </w:r>
      <w:r w:rsidRPr="00817A75">
        <w:rPr>
          <w:u w:val="single"/>
        </w:rPr>
        <w:t>High Concern</w:t>
      </w:r>
      <w:r>
        <w:t xml:space="preserve"> (SVHC): Substances that may have serious and often irreversible effects on human health and the environment. SVHC</w:t>
      </w:r>
      <w:r w:rsidR="000D7EAB">
        <w:t>s</w:t>
      </w:r>
      <w:r>
        <w:t xml:space="preserve"> are typically defined as those that have one or more of the following attributes:</w:t>
      </w:r>
    </w:p>
    <w:p w14:paraId="404F257E" w14:textId="77777777" w:rsidR="00294FD6" w:rsidRPr="00054DE5" w:rsidRDefault="00294FD6" w:rsidP="00294FD6">
      <w:pPr>
        <w:pStyle w:val="ListParagraph"/>
        <w:numPr>
          <w:ilvl w:val="0"/>
          <w:numId w:val="9"/>
        </w:numPr>
      </w:pPr>
      <w:r w:rsidRPr="00054DE5">
        <w:t xml:space="preserve">Persistent, </w:t>
      </w:r>
      <w:proofErr w:type="spellStart"/>
      <w:r w:rsidRPr="00054DE5">
        <w:t>Bioaccumulative</w:t>
      </w:r>
      <w:proofErr w:type="spellEnd"/>
      <w:r w:rsidRPr="00054DE5">
        <w:t xml:space="preserve"> and Toxic (PBT),</w:t>
      </w:r>
    </w:p>
    <w:p w14:paraId="375E3C0C" w14:textId="77777777" w:rsidR="00294FD6" w:rsidRPr="00054DE5" w:rsidRDefault="00294FD6" w:rsidP="00294FD6">
      <w:pPr>
        <w:pStyle w:val="ListParagraph"/>
        <w:numPr>
          <w:ilvl w:val="0"/>
          <w:numId w:val="9"/>
        </w:numPr>
      </w:pPr>
      <w:r w:rsidRPr="00054DE5">
        <w:t xml:space="preserve">very Persistent and very </w:t>
      </w:r>
      <w:proofErr w:type="spellStart"/>
      <w:r w:rsidRPr="00054DE5">
        <w:t>Bioaccumulative</w:t>
      </w:r>
      <w:proofErr w:type="spellEnd"/>
      <w:r w:rsidRPr="00054DE5">
        <w:t xml:space="preserve"> (</w:t>
      </w:r>
      <w:proofErr w:type="spellStart"/>
      <w:r w:rsidRPr="00054DE5">
        <w:t>vPvB</w:t>
      </w:r>
      <w:proofErr w:type="spellEnd"/>
      <w:r w:rsidRPr="00054DE5">
        <w:t>),</w:t>
      </w:r>
    </w:p>
    <w:p w14:paraId="35327A11" w14:textId="77777777" w:rsidR="00294FD6" w:rsidRPr="00054DE5" w:rsidRDefault="00294FD6" w:rsidP="00294FD6">
      <w:pPr>
        <w:pStyle w:val="ListParagraph"/>
        <w:numPr>
          <w:ilvl w:val="0"/>
          <w:numId w:val="9"/>
        </w:numPr>
      </w:pPr>
      <w:r w:rsidRPr="00054DE5">
        <w:t>very Persistent and Toxic (</w:t>
      </w:r>
      <w:proofErr w:type="spellStart"/>
      <w:r w:rsidRPr="00054DE5">
        <w:t>vPT</w:t>
      </w:r>
      <w:proofErr w:type="spellEnd"/>
      <w:r w:rsidRPr="00054DE5">
        <w:t>),</w:t>
      </w:r>
    </w:p>
    <w:p w14:paraId="6C81B29E" w14:textId="77777777" w:rsidR="00294FD6" w:rsidRPr="00054DE5" w:rsidRDefault="00294FD6" w:rsidP="00294FD6">
      <w:pPr>
        <w:pStyle w:val="ListParagraph"/>
        <w:numPr>
          <w:ilvl w:val="0"/>
          <w:numId w:val="9"/>
        </w:numPr>
      </w:pPr>
      <w:r w:rsidRPr="00054DE5">
        <w:t xml:space="preserve">very </w:t>
      </w:r>
      <w:proofErr w:type="spellStart"/>
      <w:r w:rsidRPr="00054DE5">
        <w:t>Bioaccumulative</w:t>
      </w:r>
      <w:proofErr w:type="spellEnd"/>
      <w:r w:rsidRPr="00054DE5">
        <w:t xml:space="preserve"> and Toxic (</w:t>
      </w:r>
      <w:proofErr w:type="spellStart"/>
      <w:r w:rsidRPr="00054DE5">
        <w:t>vBT</w:t>
      </w:r>
      <w:proofErr w:type="spellEnd"/>
      <w:r w:rsidRPr="00054DE5">
        <w:t>), or</w:t>
      </w:r>
    </w:p>
    <w:p w14:paraId="46AE4C70" w14:textId="77777777" w:rsidR="00294FD6" w:rsidRDefault="00294FD6" w:rsidP="00294FD6">
      <w:pPr>
        <w:pStyle w:val="ListParagraph"/>
        <w:numPr>
          <w:ilvl w:val="0"/>
          <w:numId w:val="9"/>
        </w:numPr>
      </w:pPr>
      <w:r>
        <w:t>known or likely to be:</w:t>
      </w:r>
    </w:p>
    <w:p w14:paraId="27B7340A" w14:textId="77777777" w:rsidR="00294FD6" w:rsidRDefault="00294FD6" w:rsidP="00294FD6">
      <w:pPr>
        <w:pStyle w:val="ListParagraph"/>
        <w:numPr>
          <w:ilvl w:val="1"/>
          <w:numId w:val="9"/>
        </w:numPr>
      </w:pPr>
      <w:r>
        <w:t>carcinogenic,</w:t>
      </w:r>
    </w:p>
    <w:p w14:paraId="3A5424D2" w14:textId="77777777" w:rsidR="00294FD6" w:rsidRDefault="00294FD6" w:rsidP="00294FD6">
      <w:pPr>
        <w:pStyle w:val="ListParagraph"/>
        <w:numPr>
          <w:ilvl w:val="1"/>
          <w:numId w:val="9"/>
        </w:numPr>
      </w:pPr>
      <w:r>
        <w:t>mutagenic,</w:t>
      </w:r>
    </w:p>
    <w:p w14:paraId="4915672D" w14:textId="77777777" w:rsidR="00294FD6" w:rsidRDefault="00294FD6" w:rsidP="00294FD6">
      <w:pPr>
        <w:pStyle w:val="ListParagraph"/>
        <w:numPr>
          <w:ilvl w:val="1"/>
          <w:numId w:val="9"/>
        </w:numPr>
      </w:pPr>
      <w:r>
        <w:t>reproductive or developmental toxicant,</w:t>
      </w:r>
    </w:p>
    <w:p w14:paraId="55240FD9" w14:textId="77777777" w:rsidR="00294FD6" w:rsidRDefault="00294FD6" w:rsidP="00294FD6">
      <w:pPr>
        <w:pStyle w:val="ListParagraph"/>
        <w:numPr>
          <w:ilvl w:val="1"/>
          <w:numId w:val="9"/>
        </w:numPr>
      </w:pPr>
      <w:r>
        <w:t>neurotoxicant or</w:t>
      </w:r>
    </w:p>
    <w:p w14:paraId="0F12466A" w14:textId="483C4838" w:rsidR="00294FD6" w:rsidRPr="00294FD6" w:rsidRDefault="00294FD6" w:rsidP="00BD3CFF">
      <w:pPr>
        <w:pStyle w:val="ListParagraph"/>
        <w:numPr>
          <w:ilvl w:val="1"/>
          <w:numId w:val="9"/>
        </w:numPr>
      </w:pPr>
      <w:r>
        <w:t>endocrine disrupting.</w:t>
      </w:r>
    </w:p>
    <w:p w14:paraId="22A83892" w14:textId="1C6B7145" w:rsidR="00826215" w:rsidRDefault="00826215" w:rsidP="00371C18">
      <w:pPr>
        <w:rPr>
          <w:color w:val="7030A0"/>
        </w:rPr>
      </w:pPr>
    </w:p>
    <w:p w14:paraId="2AC621D6" w14:textId="048D66C5" w:rsidR="00CF099C" w:rsidRDefault="00CF099C" w:rsidP="00CF099C">
      <w:pPr>
        <w:rPr>
          <w:color w:val="000000" w:themeColor="text1"/>
          <w:u w:val="single"/>
        </w:rPr>
      </w:pPr>
      <w:r>
        <w:rPr>
          <w:color w:val="000000" w:themeColor="text1"/>
          <w:u w:val="single"/>
        </w:rPr>
        <w:t>Sustainable Procurement</w:t>
      </w:r>
      <w:r w:rsidRPr="00CF099C">
        <w:rPr>
          <w:color w:val="000000" w:themeColor="text1"/>
        </w:rPr>
        <w:t xml:space="preserve"> - A process whereby organizations meet their needs for goods, services, works and utilities in a way that achieves value for money on a </w:t>
      </w:r>
      <w:r w:rsidR="000030F6">
        <w:rPr>
          <w:color w:val="000000" w:themeColor="text1"/>
        </w:rPr>
        <w:t>life cycle</w:t>
      </w:r>
      <w:r w:rsidRPr="00CF099C">
        <w:rPr>
          <w:color w:val="000000" w:themeColor="text1"/>
        </w:rPr>
        <w:t xml:space="preserve"> basis in terms of generating benefits not only to the organization, but also to society and the economy, while minimizing damage</w:t>
      </w:r>
      <w:r>
        <w:rPr>
          <w:color w:val="000000" w:themeColor="text1"/>
        </w:rPr>
        <w:t xml:space="preserve"> </w:t>
      </w:r>
      <w:r w:rsidR="000030F6">
        <w:rPr>
          <w:color w:val="000000" w:themeColor="text1"/>
        </w:rPr>
        <w:t>to</w:t>
      </w:r>
      <w:r w:rsidR="00CD5CC7">
        <w:rPr>
          <w:color w:val="000000" w:themeColor="text1"/>
        </w:rPr>
        <w:t xml:space="preserve"> </w:t>
      </w:r>
      <w:r>
        <w:rPr>
          <w:color w:val="000000" w:themeColor="text1"/>
        </w:rPr>
        <w:t>the environment</w:t>
      </w:r>
      <w:r w:rsidRPr="00CF099C">
        <w:rPr>
          <w:color w:val="000000" w:themeColor="text1"/>
        </w:rPr>
        <w:t>.</w:t>
      </w:r>
    </w:p>
    <w:p w14:paraId="1D946CB6" w14:textId="77777777" w:rsidR="00CF099C" w:rsidRDefault="00CF099C" w:rsidP="00371C18">
      <w:pPr>
        <w:rPr>
          <w:color w:val="000000" w:themeColor="text1"/>
          <w:u w:val="single"/>
        </w:rPr>
      </w:pPr>
    </w:p>
    <w:p w14:paraId="08AD7513" w14:textId="7A0F46DA" w:rsidR="00CD5353" w:rsidRPr="00B52052" w:rsidRDefault="00274523" w:rsidP="00371C18">
      <w:pPr>
        <w:rPr>
          <w:color w:val="000000" w:themeColor="text1"/>
        </w:rPr>
      </w:pPr>
      <w:r w:rsidRPr="009D19CA">
        <w:rPr>
          <w:color w:val="000000" w:themeColor="text1"/>
          <w:u w:val="single"/>
        </w:rPr>
        <w:t>Total Cost of Ownership</w:t>
      </w:r>
      <w:r w:rsidRPr="00B52052">
        <w:rPr>
          <w:color w:val="000000" w:themeColor="text1"/>
        </w:rPr>
        <w:t xml:space="preserve"> (TCO) – a method for calculating the full </w:t>
      </w:r>
      <w:r w:rsidR="00B52052" w:rsidRPr="00B52052">
        <w:rPr>
          <w:color w:val="000000" w:themeColor="text1"/>
        </w:rPr>
        <w:t xml:space="preserve">direct </w:t>
      </w:r>
      <w:r w:rsidRPr="00B52052">
        <w:rPr>
          <w:color w:val="000000" w:themeColor="text1"/>
        </w:rPr>
        <w:t>cost</w:t>
      </w:r>
      <w:r w:rsidR="00B52052" w:rsidRPr="00B52052">
        <w:rPr>
          <w:color w:val="000000" w:themeColor="text1"/>
        </w:rPr>
        <w:t xml:space="preserve"> </w:t>
      </w:r>
      <w:r w:rsidRPr="00B52052">
        <w:rPr>
          <w:color w:val="000000" w:themeColor="text1"/>
        </w:rPr>
        <w:t xml:space="preserve">of a </w:t>
      </w:r>
      <w:r w:rsidR="00785844">
        <w:rPr>
          <w:color w:val="000000" w:themeColor="text1"/>
        </w:rPr>
        <w:t>good</w:t>
      </w:r>
      <w:r w:rsidRPr="00B52052">
        <w:rPr>
          <w:color w:val="000000" w:themeColor="text1"/>
        </w:rPr>
        <w:t xml:space="preserve"> or service to an organization.  It includes the initial cost/price of a </w:t>
      </w:r>
      <w:r w:rsidR="00785844">
        <w:rPr>
          <w:color w:val="000000" w:themeColor="text1"/>
        </w:rPr>
        <w:t xml:space="preserve">good </w:t>
      </w:r>
      <w:r w:rsidRPr="00B52052">
        <w:rPr>
          <w:color w:val="000000" w:themeColor="text1"/>
        </w:rPr>
        <w:t>or service, as well a</w:t>
      </w:r>
      <w:r w:rsidR="00B52052" w:rsidRPr="00B52052">
        <w:rPr>
          <w:color w:val="000000" w:themeColor="text1"/>
        </w:rPr>
        <w:t xml:space="preserve">ssociated </w:t>
      </w:r>
      <w:r w:rsidRPr="00B52052">
        <w:rPr>
          <w:color w:val="000000" w:themeColor="text1"/>
        </w:rPr>
        <w:t>maintenance, operating, and end-of-life costs.</w:t>
      </w:r>
    </w:p>
    <w:p w14:paraId="647FABD4" w14:textId="77777777" w:rsidR="00826215" w:rsidRDefault="00826215" w:rsidP="00371C18"/>
    <w:p w14:paraId="6E69838F" w14:textId="52184677" w:rsidR="00276D1C" w:rsidRDefault="00276D1C" w:rsidP="00276D1C">
      <w:r>
        <w:t>1</w:t>
      </w:r>
      <w:r w:rsidR="002561D6">
        <w:t>0</w:t>
      </w:r>
      <w:r>
        <w:t>.0</w:t>
      </w:r>
      <w:r>
        <w:tab/>
        <w:t>EFFECTIVE DATE</w:t>
      </w:r>
    </w:p>
    <w:p w14:paraId="50CFD388" w14:textId="77777777" w:rsidR="007564F0" w:rsidRDefault="007564F0" w:rsidP="00E64403">
      <w:pPr>
        <w:tabs>
          <w:tab w:val="left" w:pos="720"/>
        </w:tabs>
        <w:overflowPunct w:val="0"/>
        <w:autoSpaceDE w:val="0"/>
        <w:autoSpaceDN w:val="0"/>
        <w:adjustRightInd w:val="0"/>
        <w:textAlignment w:val="baseline"/>
        <w:rPr>
          <w:rFonts w:ascii="Arial" w:hAnsi="Arial" w:cs="Arial"/>
          <w:sz w:val="22"/>
          <w:szCs w:val="22"/>
        </w:rPr>
      </w:pPr>
    </w:p>
    <w:p w14:paraId="5D9CC3A3" w14:textId="60E51285" w:rsidR="00E64403" w:rsidRPr="009C5FD0" w:rsidRDefault="00E64403" w:rsidP="009C5FD0">
      <w:pPr>
        <w:tabs>
          <w:tab w:val="left" w:pos="720"/>
        </w:tabs>
        <w:overflowPunct w:val="0"/>
        <w:autoSpaceDE w:val="0"/>
        <w:autoSpaceDN w:val="0"/>
        <w:adjustRightInd w:val="0"/>
        <w:textAlignment w:val="baseline"/>
        <w:rPr>
          <w:rFonts w:ascii="Arial" w:hAnsi="Arial" w:cs="Arial"/>
          <w:sz w:val="22"/>
          <w:szCs w:val="22"/>
        </w:rPr>
      </w:pPr>
      <w:r w:rsidRPr="00DD7963">
        <w:rPr>
          <w:rFonts w:ascii="Arial" w:hAnsi="Arial" w:cs="Arial"/>
          <w:sz w:val="22"/>
          <w:szCs w:val="22"/>
        </w:rPr>
        <w:t xml:space="preserve">This policy shall take effect on </w:t>
      </w:r>
      <w:r w:rsidRPr="00B60965">
        <w:rPr>
          <w:rFonts w:ascii="Arial" w:hAnsi="Arial" w:cs="Arial"/>
          <w:color w:val="7030A0"/>
          <w:sz w:val="22"/>
          <w:szCs w:val="22"/>
        </w:rPr>
        <w:t>[date]</w:t>
      </w:r>
      <w:r w:rsidRPr="00B60965">
        <w:rPr>
          <w:rFonts w:ascii="Arial" w:hAnsi="Arial" w:cs="Arial"/>
          <w:color w:val="000000" w:themeColor="text1"/>
          <w:sz w:val="22"/>
          <w:szCs w:val="22"/>
        </w:rPr>
        <w:t>.</w:t>
      </w:r>
    </w:p>
    <w:sectPr w:rsidR="00E64403" w:rsidRPr="009C5FD0" w:rsidSect="002275C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E962" w14:textId="77777777" w:rsidR="009B643F" w:rsidRDefault="009B643F" w:rsidP="009866A7">
      <w:r>
        <w:separator/>
      </w:r>
    </w:p>
  </w:endnote>
  <w:endnote w:type="continuationSeparator" w:id="0">
    <w:p w14:paraId="597F92A8" w14:textId="77777777" w:rsidR="009B643F" w:rsidRDefault="009B643F" w:rsidP="0098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ilom">
    <w:panose1 w:val="00000400000000000000"/>
    <w:charset w:val="DE"/>
    <w:family w:val="auto"/>
    <w:pitch w:val="variable"/>
    <w:sig w:usb0="A10000FF" w:usb1="5000205A" w:usb2="0000002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518326"/>
      <w:docPartObj>
        <w:docPartGallery w:val="Page Numbers (Bottom of Page)"/>
        <w:docPartUnique/>
      </w:docPartObj>
    </w:sdtPr>
    <w:sdtEndPr>
      <w:rPr>
        <w:rStyle w:val="PageNumber"/>
      </w:rPr>
    </w:sdtEndPr>
    <w:sdtContent>
      <w:p w14:paraId="508FDC83" w14:textId="36BE5136" w:rsidR="009866A7" w:rsidRDefault="009866A7" w:rsidP="00CF56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331C">
          <w:rPr>
            <w:rStyle w:val="PageNumber"/>
            <w:noProof/>
          </w:rPr>
          <w:t>3</w:t>
        </w:r>
        <w:r>
          <w:rPr>
            <w:rStyle w:val="PageNumber"/>
          </w:rPr>
          <w:fldChar w:fldCharType="end"/>
        </w:r>
      </w:p>
    </w:sdtContent>
  </w:sdt>
  <w:p w14:paraId="063C1E77" w14:textId="77777777" w:rsidR="009866A7" w:rsidRDefault="009866A7" w:rsidP="00986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08080" w:themeColor="background1" w:themeShade="80"/>
        <w:sz w:val="16"/>
        <w:szCs w:val="16"/>
      </w:rPr>
      <w:id w:val="854229627"/>
      <w:docPartObj>
        <w:docPartGallery w:val="Page Numbers (Bottom of Page)"/>
        <w:docPartUnique/>
      </w:docPartObj>
    </w:sdtPr>
    <w:sdtEndPr>
      <w:rPr>
        <w:rStyle w:val="PageNumber"/>
      </w:rPr>
    </w:sdtEndPr>
    <w:sdtContent>
      <w:p w14:paraId="6393EEB9" w14:textId="4FA6A7D8" w:rsidR="009866A7" w:rsidRDefault="009866A7" w:rsidP="00CF56BA">
        <w:pPr>
          <w:pStyle w:val="Footer"/>
          <w:framePr w:wrap="none" w:vAnchor="text" w:hAnchor="margin" w:xAlign="right" w:y="1"/>
          <w:rPr>
            <w:rStyle w:val="PageNumber"/>
          </w:rPr>
        </w:pPr>
        <w:r w:rsidRPr="009866A7">
          <w:rPr>
            <w:rStyle w:val="PageNumber"/>
            <w:color w:val="808080" w:themeColor="background1" w:themeShade="80"/>
            <w:sz w:val="16"/>
            <w:szCs w:val="16"/>
          </w:rPr>
          <w:fldChar w:fldCharType="begin"/>
        </w:r>
        <w:r w:rsidRPr="009866A7">
          <w:rPr>
            <w:rStyle w:val="PageNumber"/>
            <w:color w:val="808080" w:themeColor="background1" w:themeShade="80"/>
            <w:sz w:val="16"/>
            <w:szCs w:val="16"/>
          </w:rPr>
          <w:instrText xml:space="preserve"> PAGE </w:instrText>
        </w:r>
        <w:r w:rsidRPr="009866A7">
          <w:rPr>
            <w:rStyle w:val="PageNumber"/>
            <w:color w:val="808080" w:themeColor="background1" w:themeShade="80"/>
            <w:sz w:val="16"/>
            <w:szCs w:val="16"/>
          </w:rPr>
          <w:fldChar w:fldCharType="separate"/>
        </w:r>
        <w:r w:rsidRPr="009866A7">
          <w:rPr>
            <w:rStyle w:val="PageNumber"/>
            <w:noProof/>
            <w:color w:val="808080" w:themeColor="background1" w:themeShade="80"/>
            <w:sz w:val="16"/>
            <w:szCs w:val="16"/>
          </w:rPr>
          <w:t>1</w:t>
        </w:r>
        <w:r w:rsidRPr="009866A7">
          <w:rPr>
            <w:rStyle w:val="PageNumber"/>
            <w:color w:val="808080" w:themeColor="background1" w:themeShade="80"/>
            <w:sz w:val="16"/>
            <w:szCs w:val="16"/>
          </w:rPr>
          <w:fldChar w:fldCharType="end"/>
        </w:r>
      </w:p>
    </w:sdtContent>
  </w:sdt>
  <w:p w14:paraId="25156B05" w14:textId="0CCBCA6D" w:rsidR="009866A7" w:rsidRPr="009866A7" w:rsidRDefault="009866A7" w:rsidP="009866A7">
    <w:pPr>
      <w:tabs>
        <w:tab w:val="left" w:pos="8640"/>
      </w:tabs>
      <w:ind w:right="360"/>
      <w:rPr>
        <w:color w:val="808080" w:themeColor="background1" w:themeShade="80"/>
        <w:sz w:val="16"/>
        <w:szCs w:val="16"/>
      </w:rPr>
    </w:pPr>
    <w:r w:rsidRPr="009866A7">
      <w:rPr>
        <w:color w:val="808080" w:themeColor="background1" w:themeShade="80"/>
        <w:sz w:val="16"/>
        <w:szCs w:val="16"/>
      </w:rPr>
      <w:t xml:space="preserve">Version 1.0 – </w:t>
    </w:r>
    <w:r w:rsidR="00484553">
      <w:rPr>
        <w:color w:val="808080" w:themeColor="background1" w:themeShade="80"/>
        <w:sz w:val="16"/>
        <w:szCs w:val="16"/>
      </w:rPr>
      <w:t>June</w:t>
    </w:r>
    <w:r w:rsidRPr="009866A7">
      <w:rPr>
        <w:color w:val="808080" w:themeColor="background1" w:themeShade="80"/>
        <w:sz w:val="16"/>
        <w:szCs w:val="16"/>
      </w:rPr>
      <w:t xml:space="preserve"> 2022</w:t>
    </w:r>
    <w:r>
      <w:rPr>
        <w:color w:val="808080" w:themeColor="background1" w:themeShade="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C31D" w14:textId="7F7B46D5" w:rsidR="008F331C" w:rsidRDefault="008F331C">
    <w:pPr>
      <w:pStyle w:val="Footer"/>
    </w:pPr>
    <w:r w:rsidRPr="009866A7">
      <w:rPr>
        <w:color w:val="808080" w:themeColor="background1" w:themeShade="80"/>
        <w:sz w:val="16"/>
        <w:szCs w:val="16"/>
      </w:rPr>
      <w:t xml:space="preserve">Version 1.0 – </w:t>
    </w:r>
    <w:r w:rsidR="00FD15D0">
      <w:rPr>
        <w:color w:val="808080" w:themeColor="background1" w:themeShade="80"/>
        <w:sz w:val="16"/>
        <w:szCs w:val="16"/>
      </w:rPr>
      <w:t>June</w:t>
    </w:r>
    <w:r w:rsidRPr="009866A7">
      <w:rPr>
        <w:color w:val="808080" w:themeColor="background1" w:themeShade="80"/>
        <w:sz w:val="16"/>
        <w:szCs w:val="16"/>
      </w:rPr>
      <w:t xml:space="preserve"> 2022</w:t>
    </w:r>
    <w:r>
      <w:rPr>
        <w:color w:val="808080" w:themeColor="background1" w:themeShade="80"/>
        <w:sz w:val="16"/>
        <w:szCs w:val="16"/>
      </w:rPr>
      <w:tab/>
    </w:r>
    <w:r>
      <w:rPr>
        <w:color w:val="808080" w:themeColor="background1" w:themeShade="80"/>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4715" w14:textId="77777777" w:rsidR="009B643F" w:rsidRDefault="009B643F" w:rsidP="009866A7">
      <w:r>
        <w:separator/>
      </w:r>
    </w:p>
  </w:footnote>
  <w:footnote w:type="continuationSeparator" w:id="0">
    <w:p w14:paraId="54B6DC45" w14:textId="77777777" w:rsidR="009B643F" w:rsidRDefault="009B643F" w:rsidP="0098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4B09" w14:textId="2AFF6791" w:rsidR="009041AE" w:rsidRPr="009017D7" w:rsidRDefault="009041AE" w:rsidP="009041AE">
    <w:pPr>
      <w:rPr>
        <w:rFonts w:ascii="Garamond" w:hAnsi="Garamond" w:cs="Silom"/>
        <w:b/>
        <w:bCs/>
      </w:rPr>
    </w:pPr>
    <w:r w:rsidRPr="009017D7">
      <w:rPr>
        <w:rFonts w:ascii="Garamond" w:hAnsi="Garamond"/>
        <w:noProof/>
        <w:sz w:val="32"/>
        <w:szCs w:val="32"/>
      </w:rPr>
      <w:drawing>
        <wp:anchor distT="0" distB="0" distL="114300" distR="114300" simplePos="0" relativeHeight="251658240" behindDoc="0" locked="0" layoutInCell="1" allowOverlap="1" wp14:anchorId="260719FF" wp14:editId="188A375A">
          <wp:simplePos x="0" y="0"/>
          <wp:positionH relativeFrom="margin">
            <wp:posOffset>-127000</wp:posOffset>
          </wp:positionH>
          <wp:positionV relativeFrom="margin">
            <wp:posOffset>-799465</wp:posOffset>
          </wp:positionV>
          <wp:extent cx="1689100" cy="671830"/>
          <wp:effectExtent l="0" t="0" r="0" b="127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100" cy="671830"/>
                  </a:xfrm>
                  <a:prstGeom prst="rect">
                    <a:avLst/>
                  </a:prstGeom>
                </pic:spPr>
              </pic:pic>
            </a:graphicData>
          </a:graphic>
          <wp14:sizeRelH relativeFrom="margin">
            <wp14:pctWidth>0</wp14:pctWidth>
          </wp14:sizeRelH>
          <wp14:sizeRelV relativeFrom="margin">
            <wp14:pctHeight>0</wp14:pctHeight>
          </wp14:sizeRelV>
        </wp:anchor>
      </w:drawing>
    </w:r>
    <w:r w:rsidRPr="009017D7">
      <w:rPr>
        <w:rFonts w:ascii="Garamond" w:hAnsi="Garamond" w:cs="Silom"/>
        <w:b/>
        <w:bCs/>
        <w:sz w:val="32"/>
        <w:szCs w:val="32"/>
      </w:rPr>
      <w:t>SUSTAINABLE PROCUREMENT POLICY TEMPLATE</w:t>
    </w:r>
  </w:p>
  <w:p w14:paraId="3EA90026" w14:textId="31CD45E6" w:rsidR="008F331C" w:rsidRDefault="008F3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F12"/>
    <w:multiLevelType w:val="hybridMultilevel"/>
    <w:tmpl w:val="92F44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5310FB"/>
    <w:multiLevelType w:val="hybridMultilevel"/>
    <w:tmpl w:val="1640DF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900933"/>
    <w:multiLevelType w:val="hybridMultilevel"/>
    <w:tmpl w:val="80B2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22B0A"/>
    <w:multiLevelType w:val="hybridMultilevel"/>
    <w:tmpl w:val="F6CC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B149E"/>
    <w:multiLevelType w:val="hybridMultilevel"/>
    <w:tmpl w:val="4AF648E2"/>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E424868"/>
    <w:multiLevelType w:val="hybridMultilevel"/>
    <w:tmpl w:val="48484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267B9"/>
    <w:multiLevelType w:val="hybridMultilevel"/>
    <w:tmpl w:val="FF1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A7509"/>
    <w:multiLevelType w:val="hybridMultilevel"/>
    <w:tmpl w:val="1640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E57DF"/>
    <w:multiLevelType w:val="hybridMultilevel"/>
    <w:tmpl w:val="927A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D0EEA"/>
    <w:multiLevelType w:val="hybridMultilevel"/>
    <w:tmpl w:val="D4429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D4297"/>
    <w:multiLevelType w:val="hybridMultilevel"/>
    <w:tmpl w:val="A77475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6B34FF1"/>
    <w:multiLevelType w:val="hybridMultilevel"/>
    <w:tmpl w:val="2702D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325ED"/>
    <w:multiLevelType w:val="hybridMultilevel"/>
    <w:tmpl w:val="A2B4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03C9F"/>
    <w:multiLevelType w:val="multilevel"/>
    <w:tmpl w:val="E342F5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E973907"/>
    <w:multiLevelType w:val="multilevel"/>
    <w:tmpl w:val="F5C04EF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440487585">
    <w:abstractNumId w:val="13"/>
  </w:num>
  <w:num w:numId="2" w16cid:durableId="1586450290">
    <w:abstractNumId w:val="5"/>
  </w:num>
  <w:num w:numId="3" w16cid:durableId="700908856">
    <w:abstractNumId w:val="8"/>
  </w:num>
  <w:num w:numId="4" w16cid:durableId="1844853918">
    <w:abstractNumId w:val="7"/>
  </w:num>
  <w:num w:numId="5" w16cid:durableId="653139933">
    <w:abstractNumId w:val="9"/>
  </w:num>
  <w:num w:numId="6" w16cid:durableId="2025399146">
    <w:abstractNumId w:val="11"/>
  </w:num>
  <w:num w:numId="7" w16cid:durableId="446581630">
    <w:abstractNumId w:val="2"/>
  </w:num>
  <w:num w:numId="8" w16cid:durableId="983851052">
    <w:abstractNumId w:val="1"/>
  </w:num>
  <w:num w:numId="9" w16cid:durableId="759835684">
    <w:abstractNumId w:val="6"/>
  </w:num>
  <w:num w:numId="10" w16cid:durableId="854423723">
    <w:abstractNumId w:val="0"/>
  </w:num>
  <w:num w:numId="11" w16cid:durableId="319816338">
    <w:abstractNumId w:val="3"/>
  </w:num>
  <w:num w:numId="12" w16cid:durableId="1066026431">
    <w:abstractNumId w:val="12"/>
  </w:num>
  <w:num w:numId="13" w16cid:durableId="1133210028">
    <w:abstractNumId w:val="4"/>
  </w:num>
  <w:num w:numId="14" w16cid:durableId="1108818066">
    <w:abstractNumId w:val="10"/>
  </w:num>
  <w:num w:numId="15" w16cid:durableId="3324895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31"/>
    <w:rsid w:val="000030F6"/>
    <w:rsid w:val="0003071F"/>
    <w:rsid w:val="00041649"/>
    <w:rsid w:val="00045DC9"/>
    <w:rsid w:val="00050A48"/>
    <w:rsid w:val="00070F22"/>
    <w:rsid w:val="000809E0"/>
    <w:rsid w:val="00082E40"/>
    <w:rsid w:val="000C58AA"/>
    <w:rsid w:val="000D1EB6"/>
    <w:rsid w:val="000D3D74"/>
    <w:rsid w:val="000D7768"/>
    <w:rsid w:val="000D7EAB"/>
    <w:rsid w:val="000F51A9"/>
    <w:rsid w:val="001221B2"/>
    <w:rsid w:val="00154669"/>
    <w:rsid w:val="001633C9"/>
    <w:rsid w:val="0016443C"/>
    <w:rsid w:val="00182D4B"/>
    <w:rsid w:val="00184475"/>
    <w:rsid w:val="001904D1"/>
    <w:rsid w:val="00194226"/>
    <w:rsid w:val="001C4DAD"/>
    <w:rsid w:val="00203630"/>
    <w:rsid w:val="002275C6"/>
    <w:rsid w:val="0024395D"/>
    <w:rsid w:val="002561D6"/>
    <w:rsid w:val="00274523"/>
    <w:rsid w:val="00276D1C"/>
    <w:rsid w:val="002859DD"/>
    <w:rsid w:val="00294FD6"/>
    <w:rsid w:val="002D0AEB"/>
    <w:rsid w:val="0031431C"/>
    <w:rsid w:val="00325CDE"/>
    <w:rsid w:val="00331953"/>
    <w:rsid w:val="003432F8"/>
    <w:rsid w:val="00371C18"/>
    <w:rsid w:val="00391181"/>
    <w:rsid w:val="003A0A49"/>
    <w:rsid w:val="003E35C1"/>
    <w:rsid w:val="00404005"/>
    <w:rsid w:val="00427828"/>
    <w:rsid w:val="00427F07"/>
    <w:rsid w:val="00433F79"/>
    <w:rsid w:val="0046058F"/>
    <w:rsid w:val="00475E7D"/>
    <w:rsid w:val="00481017"/>
    <w:rsid w:val="00482216"/>
    <w:rsid w:val="00484553"/>
    <w:rsid w:val="004923C3"/>
    <w:rsid w:val="004A384B"/>
    <w:rsid w:val="004C50EB"/>
    <w:rsid w:val="004C71BB"/>
    <w:rsid w:val="004E6807"/>
    <w:rsid w:val="00511C8E"/>
    <w:rsid w:val="00532A5F"/>
    <w:rsid w:val="0055326D"/>
    <w:rsid w:val="005605E3"/>
    <w:rsid w:val="005935A9"/>
    <w:rsid w:val="0059721B"/>
    <w:rsid w:val="005A09D6"/>
    <w:rsid w:val="005C1001"/>
    <w:rsid w:val="005D2CE3"/>
    <w:rsid w:val="005E288B"/>
    <w:rsid w:val="005F75EF"/>
    <w:rsid w:val="00614F8F"/>
    <w:rsid w:val="00644C33"/>
    <w:rsid w:val="006616A0"/>
    <w:rsid w:val="00676FC5"/>
    <w:rsid w:val="006943E4"/>
    <w:rsid w:val="006D79A3"/>
    <w:rsid w:val="006E55C3"/>
    <w:rsid w:val="0072180B"/>
    <w:rsid w:val="00731A8D"/>
    <w:rsid w:val="00750A8A"/>
    <w:rsid w:val="007564F0"/>
    <w:rsid w:val="0076192A"/>
    <w:rsid w:val="00766D93"/>
    <w:rsid w:val="007813D7"/>
    <w:rsid w:val="00785844"/>
    <w:rsid w:val="007A42E7"/>
    <w:rsid w:val="007A48C4"/>
    <w:rsid w:val="007C1B2C"/>
    <w:rsid w:val="007D721E"/>
    <w:rsid w:val="007F1E13"/>
    <w:rsid w:val="00802E58"/>
    <w:rsid w:val="00807AE9"/>
    <w:rsid w:val="00810994"/>
    <w:rsid w:val="008117BB"/>
    <w:rsid w:val="008122FB"/>
    <w:rsid w:val="0082391C"/>
    <w:rsid w:val="00826215"/>
    <w:rsid w:val="00884F60"/>
    <w:rsid w:val="008A5C13"/>
    <w:rsid w:val="008A7E45"/>
    <w:rsid w:val="008F331C"/>
    <w:rsid w:val="008F3F86"/>
    <w:rsid w:val="009017D7"/>
    <w:rsid w:val="009041AE"/>
    <w:rsid w:val="00906854"/>
    <w:rsid w:val="009233A2"/>
    <w:rsid w:val="009272F7"/>
    <w:rsid w:val="00931381"/>
    <w:rsid w:val="00933AAB"/>
    <w:rsid w:val="009355E0"/>
    <w:rsid w:val="00953473"/>
    <w:rsid w:val="009866A7"/>
    <w:rsid w:val="009B643F"/>
    <w:rsid w:val="009C34C2"/>
    <w:rsid w:val="009C5FD0"/>
    <w:rsid w:val="009D19CA"/>
    <w:rsid w:val="00A0498A"/>
    <w:rsid w:val="00A06381"/>
    <w:rsid w:val="00A27232"/>
    <w:rsid w:val="00A31F51"/>
    <w:rsid w:val="00A403C8"/>
    <w:rsid w:val="00A50708"/>
    <w:rsid w:val="00A56C81"/>
    <w:rsid w:val="00A94165"/>
    <w:rsid w:val="00AA23BC"/>
    <w:rsid w:val="00AA5D28"/>
    <w:rsid w:val="00AB7014"/>
    <w:rsid w:val="00AB7880"/>
    <w:rsid w:val="00AD58DD"/>
    <w:rsid w:val="00AE7673"/>
    <w:rsid w:val="00AF6D23"/>
    <w:rsid w:val="00B111E6"/>
    <w:rsid w:val="00B1229E"/>
    <w:rsid w:val="00B52052"/>
    <w:rsid w:val="00B529CC"/>
    <w:rsid w:val="00B60965"/>
    <w:rsid w:val="00B614A4"/>
    <w:rsid w:val="00B7025E"/>
    <w:rsid w:val="00B929E5"/>
    <w:rsid w:val="00BC1CEC"/>
    <w:rsid w:val="00BD3CFF"/>
    <w:rsid w:val="00BD410C"/>
    <w:rsid w:val="00BD4817"/>
    <w:rsid w:val="00C10724"/>
    <w:rsid w:val="00C1497E"/>
    <w:rsid w:val="00C326DF"/>
    <w:rsid w:val="00C67B74"/>
    <w:rsid w:val="00C71B66"/>
    <w:rsid w:val="00C82C63"/>
    <w:rsid w:val="00C90731"/>
    <w:rsid w:val="00CB12ED"/>
    <w:rsid w:val="00CC0501"/>
    <w:rsid w:val="00CC7F72"/>
    <w:rsid w:val="00CD5353"/>
    <w:rsid w:val="00CD5CC7"/>
    <w:rsid w:val="00CD6A25"/>
    <w:rsid w:val="00CF099C"/>
    <w:rsid w:val="00D003D1"/>
    <w:rsid w:val="00D0101C"/>
    <w:rsid w:val="00D300EC"/>
    <w:rsid w:val="00D43751"/>
    <w:rsid w:val="00D740A7"/>
    <w:rsid w:val="00D82632"/>
    <w:rsid w:val="00D842AD"/>
    <w:rsid w:val="00D84D6C"/>
    <w:rsid w:val="00D975B7"/>
    <w:rsid w:val="00DB5DC0"/>
    <w:rsid w:val="00DC4CE9"/>
    <w:rsid w:val="00DE26D0"/>
    <w:rsid w:val="00E14835"/>
    <w:rsid w:val="00E27DF2"/>
    <w:rsid w:val="00E64403"/>
    <w:rsid w:val="00EB46BD"/>
    <w:rsid w:val="00EF088D"/>
    <w:rsid w:val="00F00307"/>
    <w:rsid w:val="00F046A0"/>
    <w:rsid w:val="00F5398F"/>
    <w:rsid w:val="00F651D2"/>
    <w:rsid w:val="00F86535"/>
    <w:rsid w:val="00FA532D"/>
    <w:rsid w:val="00FA6387"/>
    <w:rsid w:val="00FD15D0"/>
    <w:rsid w:val="00FD237E"/>
    <w:rsid w:val="00FD287C"/>
    <w:rsid w:val="00FD3CD8"/>
    <w:rsid w:val="00FD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C9054"/>
  <w15:chartTrackingRefBased/>
  <w15:docId w15:val="{ABC42950-FABC-704C-9E7A-6D85F968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D93"/>
    <w:pPr>
      <w:ind w:left="720"/>
      <w:contextualSpacing/>
    </w:pPr>
  </w:style>
  <w:style w:type="character" w:styleId="CommentReference">
    <w:name w:val="annotation reference"/>
    <w:basedOn w:val="DefaultParagraphFont"/>
    <w:uiPriority w:val="99"/>
    <w:semiHidden/>
    <w:unhideWhenUsed/>
    <w:rsid w:val="00EB46BD"/>
    <w:rPr>
      <w:sz w:val="16"/>
      <w:szCs w:val="16"/>
    </w:rPr>
  </w:style>
  <w:style w:type="paragraph" w:styleId="CommentText">
    <w:name w:val="annotation text"/>
    <w:basedOn w:val="Normal"/>
    <w:link w:val="CommentTextChar"/>
    <w:uiPriority w:val="99"/>
    <w:semiHidden/>
    <w:unhideWhenUsed/>
    <w:rsid w:val="00EB46BD"/>
    <w:rPr>
      <w:sz w:val="20"/>
      <w:szCs w:val="20"/>
    </w:rPr>
  </w:style>
  <w:style w:type="character" w:customStyle="1" w:styleId="CommentTextChar">
    <w:name w:val="Comment Text Char"/>
    <w:basedOn w:val="DefaultParagraphFont"/>
    <w:link w:val="CommentText"/>
    <w:uiPriority w:val="99"/>
    <w:semiHidden/>
    <w:rsid w:val="00EB46BD"/>
    <w:rPr>
      <w:sz w:val="20"/>
      <w:szCs w:val="20"/>
    </w:rPr>
  </w:style>
  <w:style w:type="paragraph" w:styleId="CommentSubject">
    <w:name w:val="annotation subject"/>
    <w:basedOn w:val="CommentText"/>
    <w:next w:val="CommentText"/>
    <w:link w:val="CommentSubjectChar"/>
    <w:uiPriority w:val="99"/>
    <w:semiHidden/>
    <w:unhideWhenUsed/>
    <w:rsid w:val="00EB46BD"/>
    <w:rPr>
      <w:b/>
      <w:bCs/>
    </w:rPr>
  </w:style>
  <w:style w:type="character" w:customStyle="1" w:styleId="CommentSubjectChar">
    <w:name w:val="Comment Subject Char"/>
    <w:basedOn w:val="CommentTextChar"/>
    <w:link w:val="CommentSubject"/>
    <w:uiPriority w:val="99"/>
    <w:semiHidden/>
    <w:rsid w:val="00EB46BD"/>
    <w:rPr>
      <w:b/>
      <w:bCs/>
      <w:sz w:val="20"/>
      <w:szCs w:val="20"/>
    </w:rPr>
  </w:style>
  <w:style w:type="paragraph" w:customStyle="1" w:styleId="Pa15">
    <w:name w:val="Pa15"/>
    <w:basedOn w:val="Normal"/>
    <w:next w:val="Normal"/>
    <w:uiPriority w:val="99"/>
    <w:rsid w:val="004E6807"/>
    <w:pPr>
      <w:autoSpaceDE w:val="0"/>
      <w:autoSpaceDN w:val="0"/>
      <w:adjustRightInd w:val="0"/>
      <w:spacing w:line="221" w:lineRule="atLeast"/>
    </w:pPr>
    <w:rPr>
      <w:rFonts w:ascii="Cambria" w:hAnsi="Cambria"/>
    </w:rPr>
  </w:style>
  <w:style w:type="paragraph" w:customStyle="1" w:styleId="Pa16">
    <w:name w:val="Pa16"/>
    <w:basedOn w:val="Normal"/>
    <w:next w:val="Normal"/>
    <w:uiPriority w:val="99"/>
    <w:rsid w:val="004E6807"/>
    <w:pPr>
      <w:autoSpaceDE w:val="0"/>
      <w:autoSpaceDN w:val="0"/>
      <w:adjustRightInd w:val="0"/>
      <w:spacing w:line="221" w:lineRule="atLeast"/>
    </w:pPr>
    <w:rPr>
      <w:rFonts w:ascii="Cambria" w:hAnsi="Cambria"/>
    </w:rPr>
  </w:style>
  <w:style w:type="character" w:styleId="Hyperlink">
    <w:name w:val="Hyperlink"/>
    <w:basedOn w:val="DefaultParagraphFont"/>
    <w:uiPriority w:val="99"/>
    <w:unhideWhenUsed/>
    <w:rsid w:val="007C1B2C"/>
    <w:rPr>
      <w:color w:val="0563C1" w:themeColor="hyperlink"/>
      <w:u w:val="single"/>
    </w:rPr>
  </w:style>
  <w:style w:type="character" w:styleId="FollowedHyperlink">
    <w:name w:val="FollowedHyperlink"/>
    <w:basedOn w:val="DefaultParagraphFont"/>
    <w:uiPriority w:val="99"/>
    <w:semiHidden/>
    <w:unhideWhenUsed/>
    <w:rsid w:val="007C1B2C"/>
    <w:rPr>
      <w:color w:val="954F72" w:themeColor="followedHyperlink"/>
      <w:u w:val="single"/>
    </w:rPr>
  </w:style>
  <w:style w:type="paragraph" w:styleId="Revision">
    <w:name w:val="Revision"/>
    <w:hidden/>
    <w:uiPriority w:val="99"/>
    <w:semiHidden/>
    <w:rsid w:val="00532A5F"/>
  </w:style>
  <w:style w:type="paragraph" w:styleId="Header">
    <w:name w:val="header"/>
    <w:basedOn w:val="Normal"/>
    <w:link w:val="HeaderChar"/>
    <w:uiPriority w:val="99"/>
    <w:unhideWhenUsed/>
    <w:rsid w:val="009866A7"/>
    <w:pPr>
      <w:tabs>
        <w:tab w:val="center" w:pos="4680"/>
        <w:tab w:val="right" w:pos="9360"/>
      </w:tabs>
    </w:pPr>
  </w:style>
  <w:style w:type="character" w:customStyle="1" w:styleId="HeaderChar">
    <w:name w:val="Header Char"/>
    <w:basedOn w:val="DefaultParagraphFont"/>
    <w:link w:val="Header"/>
    <w:uiPriority w:val="99"/>
    <w:rsid w:val="009866A7"/>
  </w:style>
  <w:style w:type="paragraph" w:styleId="Footer">
    <w:name w:val="footer"/>
    <w:basedOn w:val="Normal"/>
    <w:link w:val="FooterChar"/>
    <w:uiPriority w:val="99"/>
    <w:unhideWhenUsed/>
    <w:rsid w:val="009866A7"/>
    <w:pPr>
      <w:tabs>
        <w:tab w:val="center" w:pos="4680"/>
        <w:tab w:val="right" w:pos="9360"/>
      </w:tabs>
    </w:pPr>
  </w:style>
  <w:style w:type="character" w:customStyle="1" w:styleId="FooterChar">
    <w:name w:val="Footer Char"/>
    <w:basedOn w:val="DefaultParagraphFont"/>
    <w:link w:val="Footer"/>
    <w:uiPriority w:val="99"/>
    <w:rsid w:val="009866A7"/>
  </w:style>
  <w:style w:type="character" w:styleId="PageNumber">
    <w:name w:val="page number"/>
    <w:basedOn w:val="DefaultParagraphFont"/>
    <w:uiPriority w:val="99"/>
    <w:semiHidden/>
    <w:unhideWhenUsed/>
    <w:rsid w:val="0098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Foreman</dc:creator>
  <cp:keywords/>
  <dc:description/>
  <cp:lastModifiedBy>Stacey Foreman</cp:lastModifiedBy>
  <cp:revision>7</cp:revision>
  <dcterms:created xsi:type="dcterms:W3CDTF">2022-06-01T02:40:00Z</dcterms:created>
  <dcterms:modified xsi:type="dcterms:W3CDTF">2022-06-10T14:15:00Z</dcterms:modified>
</cp:coreProperties>
</file>